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numbering.xml" ContentType="application/vnd.openxmlformats-officedocument.wordprocessingml.numbering+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hanging="0"/>
        <w:jc w:val="center"/>
        <w:rPr/>
      </w:pPr>
      <w:r>
        <w:rPr/>
        <w:drawing>
          <wp:inline distT="0" distB="0" distL="0" distR="0">
            <wp:extent cx="2115820" cy="1041400"/>
            <wp:effectExtent l="0" t="0" r="0" b="0"/>
            <wp:docPr id="1" name="Рисунок 7" descr="C:\Users\vyurinov\Desktop\131_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7" descr="C:\Users\vyurinov\Desktop\131_1-1-2.jpg"/>
                    <pic:cNvPicPr>
                      <a:picLocks noChangeAspect="1" noChangeArrowheads="1"/>
                    </pic:cNvPicPr>
                  </pic:nvPicPr>
                  <pic:blipFill>
                    <a:blip r:embed="rId2"/>
                    <a:stretch>
                      <a:fillRect/>
                    </a:stretch>
                  </pic:blipFill>
                  <pic:spPr bwMode="auto">
                    <a:xfrm>
                      <a:off x="0" y="0"/>
                      <a:ext cx="2115820" cy="1041400"/>
                    </a:xfrm>
                    <a:prstGeom prst="rect">
                      <a:avLst/>
                    </a:prstGeom>
                    <a:noFill/>
                  </pic:spPr>
                </pic:pic>
              </a:graphicData>
            </a:graphic>
          </wp:inline>
        </w:drawing>
      </w:r>
    </w:p>
    <w:p>
      <w:pPr>
        <w:pStyle w:val="Normal"/>
        <w:ind w:hanging="0"/>
        <w:jc w:val="center"/>
        <w:rPr/>
      </w:pPr>
      <w:r>
        <w:rPr/>
      </w:r>
    </w:p>
    <w:p>
      <w:pPr>
        <w:pStyle w:val="Normal"/>
        <w:ind w:hanging="0"/>
        <w:jc w:val="center"/>
        <w:rPr/>
      </w:pPr>
      <w:r>
        <w:rPr/>
      </w:r>
      <w:bookmarkStart w:id="0" w:name="OLE_LINK1"/>
      <w:bookmarkStart w:id="1" w:name="OLE_LINK1"/>
      <w:bookmarkEnd w:id="1"/>
    </w:p>
    <w:p>
      <w:pPr>
        <w:pStyle w:val="Normal"/>
        <w:ind w:hanging="0"/>
        <w:jc w:val="center"/>
        <w:rPr/>
      </w:pPr>
      <w:r>
        <w:rPr/>
      </w:r>
    </w:p>
    <w:p>
      <w:pPr>
        <w:pStyle w:val="Normal"/>
        <w:ind w:hanging="0"/>
        <w:jc w:val="center"/>
        <w:rPr>
          <w:rFonts w:cs="Times New Roman"/>
          <w:szCs w:val="24"/>
        </w:rPr>
      </w:pPr>
      <w:r>
        <w:rPr>
          <w:rFonts w:cs="Times New Roman"/>
          <w:szCs w:val="24"/>
        </w:rPr>
      </w:r>
    </w:p>
    <w:p>
      <w:pPr>
        <w:pStyle w:val="Normal"/>
        <w:ind w:hanging="0"/>
        <w:jc w:val="center"/>
        <w:rPr>
          <w:rFonts w:cs="Times New Roman"/>
          <w:szCs w:val="24"/>
        </w:rPr>
      </w:pPr>
      <w:r>
        <w:rPr>
          <w:rFonts w:cs="Times New Roman"/>
          <w:szCs w:val="24"/>
        </w:rPr>
      </w:r>
    </w:p>
    <w:p>
      <w:pPr>
        <w:pStyle w:val="Normal"/>
        <w:ind w:hanging="0"/>
        <w:jc w:val="center"/>
        <w:rPr>
          <w:rFonts w:cs="Times New Roman"/>
          <w:szCs w:val="24"/>
        </w:rPr>
      </w:pPr>
      <w:r>
        <w:rPr>
          <w:rFonts w:cs="Times New Roman"/>
          <w:szCs w:val="24"/>
        </w:rPr>
      </w:r>
    </w:p>
    <w:p>
      <w:pPr>
        <w:pStyle w:val="Normal"/>
        <w:ind w:hanging="0"/>
        <w:jc w:val="center"/>
        <w:rPr>
          <w:rFonts w:cs="Times New Roman"/>
          <w:szCs w:val="24"/>
        </w:rPr>
      </w:pPr>
      <w:r>
        <w:rPr>
          <w:rFonts w:cs="Times New Roman"/>
          <w:szCs w:val="24"/>
        </w:rPr>
      </w:r>
    </w:p>
    <w:p>
      <w:pPr>
        <w:pStyle w:val="Normal"/>
        <w:ind w:hanging="0"/>
        <w:jc w:val="center"/>
        <w:rPr>
          <w:rFonts w:cs="Times New Roman"/>
          <w:szCs w:val="24"/>
        </w:rPr>
      </w:pPr>
      <w:r>
        <w:rPr>
          <w:rFonts w:cs="Times New Roman"/>
          <w:szCs w:val="24"/>
        </w:rPr>
      </w:r>
    </w:p>
    <w:p>
      <w:pPr>
        <w:pStyle w:val="Normal"/>
        <w:spacing w:lineRule="auto" w:line="240"/>
        <w:ind w:hanging="0"/>
        <w:jc w:val="center"/>
        <w:rPr>
          <w:rFonts w:cs="Times New Roman"/>
          <w:b/>
          <w:szCs w:val="24"/>
        </w:rPr>
      </w:pPr>
      <w:r>
        <w:rPr>
          <w:rFonts w:cs="Times New Roman"/>
          <w:b/>
          <w:szCs w:val="24"/>
        </w:rPr>
        <w:t>ТЕХНИЧЕСКОЕ ЗАДАНИЕ</w:t>
      </w:r>
    </w:p>
    <w:p>
      <w:pPr>
        <w:pStyle w:val="Normal"/>
        <w:spacing w:lineRule="auto" w:line="240"/>
        <w:ind w:hanging="0"/>
        <w:jc w:val="center"/>
        <w:rPr>
          <w:rFonts w:cs="Times New Roman"/>
          <w:szCs w:val="24"/>
        </w:rPr>
      </w:pPr>
      <w:r>
        <w:rPr>
          <w:rFonts w:cs="Times New Roman"/>
          <w:szCs w:val="24"/>
        </w:rPr>
      </w:r>
    </w:p>
    <w:p>
      <w:pPr>
        <w:pStyle w:val="Normal"/>
        <w:spacing w:lineRule="auto" w:line="240"/>
        <w:ind w:hanging="0"/>
        <w:jc w:val="center"/>
        <w:rPr>
          <w:rFonts w:cs="Times New Roman"/>
          <w:b/>
          <w:szCs w:val="24"/>
        </w:rPr>
      </w:pPr>
      <w:r>
        <w:rPr>
          <w:rFonts w:cs="Times New Roman"/>
          <w:b/>
          <w:szCs w:val="24"/>
        </w:rPr>
        <w:t>на выполнение проекта</w:t>
      </w:r>
    </w:p>
    <w:p>
      <w:pPr>
        <w:pStyle w:val="Normal"/>
        <w:spacing w:lineRule="auto" w:line="240"/>
        <w:ind w:hanging="0"/>
        <w:jc w:val="center"/>
        <w:rPr>
          <w:rFonts w:cs="Times New Roman"/>
          <w:b/>
          <w:szCs w:val="24"/>
        </w:rPr>
      </w:pPr>
      <w:r>
        <w:rPr>
          <w:rFonts w:cs="Times New Roman"/>
          <w:b/>
          <w:szCs w:val="24"/>
        </w:rPr>
        <w:t>Здания служебно-ремонтно-эксплуатационного блока</w:t>
      </w:r>
    </w:p>
    <w:p>
      <w:pPr>
        <w:pStyle w:val="Normal"/>
        <w:spacing w:lineRule="auto" w:line="240"/>
        <w:ind w:hanging="0"/>
        <w:jc w:val="center"/>
        <w:rPr>
          <w:rFonts w:cs="Times New Roman"/>
          <w:b/>
          <w:szCs w:val="24"/>
        </w:rPr>
      </w:pPr>
      <w:r>
        <w:rPr>
          <w:rFonts w:cs="Times New Roman"/>
          <w:b/>
          <w:szCs w:val="24"/>
        </w:rPr>
        <w:t>в составе компрессорной станции</w:t>
      </w:r>
    </w:p>
    <w:p>
      <w:pPr>
        <w:pStyle w:val="Normal"/>
        <w:spacing w:lineRule="auto" w:line="240"/>
        <w:ind w:hanging="0"/>
        <w:jc w:val="center"/>
        <w:rPr>
          <w:rFonts w:cs="Times New Roman"/>
          <w:b/>
          <w:szCs w:val="24"/>
        </w:rPr>
      </w:pPr>
      <w:r>
        <w:rPr>
          <w:rFonts w:cs="Times New Roman"/>
          <w:b/>
          <w:szCs w:val="24"/>
        </w:rPr>
      </w:r>
    </w:p>
    <w:p>
      <w:pPr>
        <w:pStyle w:val="Normal"/>
        <w:spacing w:lineRule="auto" w:line="240"/>
        <w:ind w:hanging="0"/>
        <w:jc w:val="center"/>
        <w:rPr>
          <w:rFonts w:cs="Times New Roman"/>
          <w:b/>
          <w:szCs w:val="24"/>
        </w:rPr>
      </w:pPr>
      <w:r>
        <w:rPr>
          <w:rFonts w:cs="Times New Roman"/>
          <w:b/>
          <w:szCs w:val="24"/>
        </w:rPr>
      </w:r>
    </w:p>
    <w:p>
      <w:pPr>
        <w:pStyle w:val="Normal"/>
        <w:spacing w:lineRule="auto" w:line="240"/>
        <w:ind w:hanging="0"/>
        <w:jc w:val="center"/>
        <w:rPr>
          <w:rFonts w:cs="Times New Roman"/>
          <w:b/>
          <w:szCs w:val="24"/>
        </w:rPr>
      </w:pPr>
      <w:r>
        <w:rPr>
          <w:rFonts w:cs="Times New Roman"/>
          <w:b/>
          <w:szCs w:val="24"/>
        </w:rPr>
      </w:r>
    </w:p>
    <w:p>
      <w:pPr>
        <w:pStyle w:val="Normal"/>
        <w:spacing w:lineRule="auto" w:line="240"/>
        <w:ind w:hanging="0"/>
        <w:jc w:val="center"/>
        <w:rPr>
          <w:rFonts w:cs="Times New Roman"/>
          <w:b/>
          <w:szCs w:val="24"/>
        </w:rPr>
      </w:pPr>
      <w:r>
        <w:rPr>
          <w:rFonts w:cs="Times New Roman"/>
          <w:b/>
          <w:szCs w:val="24"/>
        </w:rPr>
      </w:r>
    </w:p>
    <w:p>
      <w:pPr>
        <w:pStyle w:val="Normal"/>
        <w:ind w:hanging="0"/>
        <w:jc w:val="center"/>
        <w:rPr>
          <w:rFonts w:cs="Times New Roman"/>
          <w:b/>
          <w:szCs w:val="24"/>
        </w:rPr>
      </w:pPr>
      <w:r>
        <w:rPr>
          <w:rFonts w:cs="Times New Roman"/>
          <w:b/>
          <w:szCs w:val="24"/>
        </w:rPr>
      </w:r>
    </w:p>
    <w:p>
      <w:pPr>
        <w:pStyle w:val="Normal"/>
        <w:ind w:hanging="0"/>
        <w:jc w:val="center"/>
        <w:rPr>
          <w:rFonts w:cs="Times New Roman"/>
          <w:b/>
          <w:szCs w:val="24"/>
        </w:rPr>
      </w:pPr>
      <w:r>
        <w:rPr>
          <w:rFonts w:cs="Times New Roman"/>
          <w:b/>
          <w:szCs w:val="24"/>
        </w:rPr>
      </w:r>
    </w:p>
    <w:p>
      <w:pPr>
        <w:pStyle w:val="Normal"/>
        <w:ind w:hanging="0"/>
        <w:jc w:val="center"/>
        <w:rPr>
          <w:rFonts w:cs="Times New Roman"/>
          <w:b/>
          <w:szCs w:val="24"/>
        </w:rPr>
      </w:pPr>
      <w:r>
        <w:rPr>
          <w:rFonts w:cs="Times New Roman"/>
          <w:b/>
          <w:szCs w:val="24"/>
        </w:rPr>
      </w:r>
    </w:p>
    <w:p>
      <w:pPr>
        <w:pStyle w:val="Normal"/>
        <w:ind w:hanging="0"/>
        <w:jc w:val="center"/>
        <w:rPr>
          <w:rFonts w:cs="Times New Roman"/>
          <w:b/>
          <w:szCs w:val="24"/>
        </w:rPr>
      </w:pPr>
      <w:r>
        <w:rPr>
          <w:rFonts w:cs="Times New Roman"/>
          <w:b/>
          <w:szCs w:val="24"/>
        </w:rPr>
      </w:r>
    </w:p>
    <w:p>
      <w:pPr>
        <w:pStyle w:val="Normal"/>
        <w:ind w:hanging="0"/>
        <w:jc w:val="center"/>
        <w:rPr>
          <w:rFonts w:cs="Times New Roman"/>
          <w:b/>
          <w:szCs w:val="24"/>
        </w:rPr>
      </w:pPr>
      <w:r>
        <w:rPr>
          <w:rFonts w:cs="Times New Roman"/>
          <w:b/>
          <w:szCs w:val="24"/>
        </w:rPr>
      </w:r>
    </w:p>
    <w:p>
      <w:pPr>
        <w:pStyle w:val="Normal"/>
        <w:ind w:hanging="0"/>
        <w:jc w:val="center"/>
        <w:rPr>
          <w:rFonts w:cs="Times New Roman"/>
          <w:szCs w:val="24"/>
        </w:rPr>
      </w:pPr>
      <w:r>
        <w:rPr>
          <w:rFonts w:cs="Times New Roman"/>
          <w:szCs w:val="24"/>
        </w:rPr>
      </w:r>
    </w:p>
    <w:p>
      <w:pPr>
        <w:pStyle w:val="Normal"/>
        <w:ind w:hanging="0"/>
        <w:jc w:val="center"/>
        <w:rPr>
          <w:rFonts w:cs="Times New Roman"/>
          <w:szCs w:val="24"/>
        </w:rPr>
      </w:pPr>
      <w:r>
        <w:rPr>
          <w:rFonts w:cs="Times New Roman"/>
          <w:szCs w:val="24"/>
        </w:rPr>
      </w:r>
    </w:p>
    <w:p>
      <w:pPr>
        <w:pStyle w:val="Normal"/>
        <w:ind w:hanging="0"/>
        <w:jc w:val="center"/>
        <w:rPr>
          <w:rFonts w:cs="Times New Roman"/>
          <w:szCs w:val="24"/>
        </w:rPr>
      </w:pPr>
      <w:r>
        <w:rPr>
          <w:rFonts w:cs="Times New Roman"/>
          <w:szCs w:val="24"/>
        </w:rPr>
      </w:r>
    </w:p>
    <w:p>
      <w:pPr>
        <w:pStyle w:val="Normal"/>
        <w:ind w:hanging="0"/>
        <w:jc w:val="center"/>
        <w:rPr>
          <w:rFonts w:cs="Times New Roman"/>
          <w:szCs w:val="24"/>
        </w:rPr>
      </w:pPr>
      <w:r>
        <w:rPr>
          <w:rFonts w:cs="Times New Roman"/>
          <w:szCs w:val="24"/>
        </w:rPr>
      </w:r>
    </w:p>
    <w:p>
      <w:pPr>
        <w:pStyle w:val="Normal"/>
        <w:ind w:hanging="0"/>
        <w:jc w:val="center"/>
        <w:rPr>
          <w:rFonts w:cs="Times New Roman"/>
          <w:szCs w:val="24"/>
        </w:rPr>
      </w:pPr>
      <w:r>
        <w:rPr>
          <w:rFonts w:cs="Times New Roman"/>
          <w:szCs w:val="24"/>
        </w:rPr>
      </w:r>
    </w:p>
    <w:p>
      <w:pPr>
        <w:pStyle w:val="Normal"/>
        <w:ind w:hanging="0"/>
        <w:jc w:val="center"/>
        <w:rPr>
          <w:rFonts w:cs="Times New Roman"/>
          <w:szCs w:val="24"/>
        </w:rPr>
      </w:pPr>
      <w:r>
        <w:rPr>
          <w:rFonts w:cs="Times New Roman"/>
          <w:szCs w:val="24"/>
        </w:rPr>
      </w:r>
    </w:p>
    <w:p>
      <w:pPr>
        <w:pStyle w:val="Normal"/>
        <w:ind w:hanging="0"/>
        <w:jc w:val="center"/>
        <w:rPr>
          <w:rFonts w:cs="Times New Roman"/>
          <w:szCs w:val="24"/>
        </w:rPr>
      </w:pPr>
      <w:r>
        <w:rPr>
          <w:rFonts w:cs="Times New Roman"/>
          <w:szCs w:val="24"/>
        </w:rPr>
      </w:r>
    </w:p>
    <w:p>
      <w:pPr>
        <w:pStyle w:val="Normal"/>
        <w:ind w:hanging="0"/>
        <w:jc w:val="center"/>
        <w:rPr>
          <w:rFonts w:cs="Times New Roman"/>
          <w:szCs w:val="24"/>
        </w:rPr>
      </w:pPr>
      <w:r>
        <w:rPr>
          <w:rFonts w:cs="Times New Roman"/>
          <w:szCs w:val="24"/>
        </w:rPr>
      </w:r>
    </w:p>
    <w:p>
      <w:pPr>
        <w:pStyle w:val="Normal"/>
        <w:ind w:hanging="0"/>
        <w:jc w:val="center"/>
        <w:rPr>
          <w:rFonts w:cs="Times New Roman"/>
          <w:szCs w:val="24"/>
        </w:rPr>
      </w:pPr>
      <w:r>
        <w:rPr>
          <w:rFonts w:cs="Times New Roman"/>
          <w:szCs w:val="24"/>
        </w:rPr>
        <w:t>Санкт-Петербург</w:t>
      </w:r>
    </w:p>
    <w:p>
      <w:pPr>
        <w:pStyle w:val="Normal"/>
        <w:ind w:hanging="0"/>
        <w:jc w:val="center"/>
        <w:rPr>
          <w:rFonts w:cs="Times New Roman"/>
          <w:szCs w:val="24"/>
        </w:rPr>
      </w:pPr>
      <w:r>
        <w:rPr>
          <w:rFonts w:cs="Times New Roman"/>
          <w:szCs w:val="24"/>
        </w:rPr>
        <w:t>2026</w:t>
      </w:r>
      <w:r>
        <w:br w:type="page"/>
      </w:r>
    </w:p>
    <w:p>
      <w:pPr>
        <w:pStyle w:val="Normal"/>
        <w:widowControl w:val="false"/>
        <w:spacing w:lineRule="auto" w:line="240" w:before="0" w:after="120"/>
        <w:rPr>
          <w:rFonts w:cs="Times New Roman"/>
          <w:b/>
        </w:rPr>
      </w:pPr>
      <w:r>
        <w:rPr>
          <w:rFonts w:cs="Times New Roman"/>
          <w:b/>
        </w:rPr>
        <w:t>РАЗРАБОТАНО</w:t>
      </w:r>
    </w:p>
    <w:tbl>
      <w:tblPr>
        <w:tblW w:w="9493" w:type="dxa"/>
        <w:jc w:val="center"/>
        <w:tblInd w:w="0" w:type="dxa"/>
        <w:tblLayout w:type="fixed"/>
        <w:tblCellMar>
          <w:top w:w="0" w:type="dxa"/>
          <w:start w:w="108" w:type="dxa"/>
          <w:bottom w:w="0" w:type="dxa"/>
          <w:end w:w="108" w:type="dxa"/>
        </w:tblCellMar>
        <w:tblLook w:firstRow="0" w:noVBand="0" w:lastRow="0" w:firstColumn="0" w:lastColumn="0" w:noHBand="0" w:val="0000"/>
      </w:tblPr>
      <w:tblGrid>
        <w:gridCol w:w="2829"/>
        <w:gridCol w:w="6664"/>
      </w:tblGrid>
      <w:tr>
        <w:trPr/>
        <w:tc>
          <w:tcPr>
            <w:tcW w:w="2829" w:type="dxa"/>
            <w:tcBorders>
              <w:top w:val="single" w:sz="4" w:space="0" w:color="000000"/>
              <w:start w:val="single" w:sz="4" w:space="0" w:color="000000"/>
              <w:bottom w:val="single" w:sz="4" w:space="0" w:color="000000"/>
              <w:end w:val="single" w:sz="4" w:space="0" w:color="000000"/>
            </w:tcBorders>
            <w:vAlign w:val="center"/>
          </w:tcPr>
          <w:p>
            <w:pPr>
              <w:pStyle w:val="user"/>
              <w:jc w:val="center"/>
              <w:rPr>
                <w:b/>
              </w:rPr>
            </w:pPr>
            <w:r>
              <w:rPr>
                <w:b/>
              </w:rPr>
              <w:t>ФИО</w:t>
            </w:r>
          </w:p>
        </w:tc>
        <w:tc>
          <w:tcPr>
            <w:tcW w:w="6664" w:type="dxa"/>
            <w:tcBorders>
              <w:top w:val="single" w:sz="4" w:space="0" w:color="000000"/>
              <w:start w:val="single" w:sz="4" w:space="0" w:color="000000"/>
              <w:bottom w:val="single" w:sz="4" w:space="0" w:color="000000"/>
              <w:end w:val="single" w:sz="4" w:space="0" w:color="000000"/>
            </w:tcBorders>
            <w:vAlign w:val="center"/>
          </w:tcPr>
          <w:p>
            <w:pPr>
              <w:pStyle w:val="user"/>
              <w:jc w:val="center"/>
              <w:rPr>
                <w:b/>
              </w:rPr>
            </w:pPr>
            <w:r>
              <w:rPr>
                <w:b/>
              </w:rPr>
              <w:t>Специализация</w:t>
            </w:r>
          </w:p>
        </w:tc>
      </w:tr>
      <w:tr>
        <w:trPr/>
        <w:tc>
          <w:tcPr>
            <w:tcW w:w="2829" w:type="dxa"/>
            <w:tcBorders>
              <w:top w:val="single" w:sz="4" w:space="0" w:color="000000"/>
              <w:start w:val="single" w:sz="4" w:space="0" w:color="000000"/>
              <w:bottom w:val="single" w:sz="4" w:space="0" w:color="000000"/>
              <w:end w:val="single" w:sz="4" w:space="0" w:color="000000"/>
            </w:tcBorders>
            <w:vAlign w:val="center"/>
          </w:tcPr>
          <w:p>
            <w:pPr>
              <w:pStyle w:val="user"/>
              <w:jc w:val="center"/>
              <w:rPr/>
            </w:pPr>
            <w:r>
              <w:rPr/>
              <w:t>Яблонцева</w:t>
              <w:br/>
              <w:t>Александра Валерьевна</w:t>
            </w:r>
          </w:p>
        </w:tc>
        <w:tc>
          <w:tcPr>
            <w:tcW w:w="6664" w:type="dxa"/>
            <w:tcBorders>
              <w:top w:val="single" w:sz="4" w:space="0" w:color="000000"/>
              <w:start w:val="single" w:sz="4" w:space="0" w:color="000000"/>
              <w:bottom w:val="single" w:sz="4" w:space="0" w:color="000000"/>
              <w:end w:val="single" w:sz="4" w:space="0" w:color="000000"/>
            </w:tcBorders>
            <w:vAlign w:val="center"/>
          </w:tcPr>
          <w:p>
            <w:pPr>
              <w:pStyle w:val="user"/>
              <w:jc w:val="center"/>
              <w:rPr/>
            </w:pPr>
            <w:r>
              <w:rPr/>
              <w:t>Архитектурные решения</w:t>
            </w:r>
          </w:p>
        </w:tc>
      </w:tr>
      <w:tr>
        <w:trPr/>
        <w:tc>
          <w:tcPr>
            <w:tcW w:w="2829" w:type="dxa"/>
            <w:tcBorders>
              <w:top w:val="single" w:sz="4" w:space="0" w:color="000000"/>
              <w:start w:val="single" w:sz="4" w:space="0" w:color="000000"/>
              <w:bottom w:val="single" w:sz="4" w:space="0" w:color="000000"/>
              <w:end w:val="single" w:sz="4" w:space="0" w:color="000000"/>
            </w:tcBorders>
            <w:vAlign w:val="center"/>
          </w:tcPr>
          <w:p>
            <w:pPr>
              <w:pStyle w:val="user"/>
              <w:jc w:val="center"/>
              <w:rPr/>
            </w:pPr>
            <w:r>
              <w:rPr/>
              <w:t>Лаптев</w:t>
              <w:br/>
              <w:t>Максим Владимирович</w:t>
            </w:r>
          </w:p>
        </w:tc>
        <w:tc>
          <w:tcPr>
            <w:tcW w:w="6664" w:type="dxa"/>
            <w:tcBorders>
              <w:top w:val="single" w:sz="4" w:space="0" w:color="000000"/>
              <w:start w:val="single" w:sz="4" w:space="0" w:color="000000"/>
              <w:bottom w:val="single" w:sz="4" w:space="0" w:color="000000"/>
              <w:end w:val="single" w:sz="4" w:space="0" w:color="000000"/>
            </w:tcBorders>
            <w:vAlign w:val="center"/>
          </w:tcPr>
          <w:p>
            <w:pPr>
              <w:pStyle w:val="user"/>
              <w:jc w:val="center"/>
              <w:rPr/>
            </w:pPr>
            <w:r>
              <w:rPr/>
              <w:t>Конструктивные решения</w:t>
            </w:r>
          </w:p>
        </w:tc>
      </w:tr>
      <w:tr>
        <w:trPr/>
        <w:tc>
          <w:tcPr>
            <w:tcW w:w="2829" w:type="dxa"/>
            <w:tcBorders>
              <w:top w:val="single" w:sz="4" w:space="0" w:color="000000"/>
              <w:start w:val="single" w:sz="4" w:space="0" w:color="000000"/>
              <w:bottom w:val="single" w:sz="4" w:space="0" w:color="000000"/>
              <w:end w:val="single" w:sz="4" w:space="0" w:color="000000"/>
            </w:tcBorders>
            <w:vAlign w:val="center"/>
          </w:tcPr>
          <w:p>
            <w:pPr>
              <w:pStyle w:val="user"/>
              <w:jc w:val="center"/>
              <w:rPr/>
            </w:pPr>
            <w:r>
              <w:rPr/>
              <w:t>Гласова</w:t>
              <w:br/>
              <w:t>Ольга Павловна</w:t>
            </w:r>
          </w:p>
        </w:tc>
        <w:tc>
          <w:tcPr>
            <w:tcW w:w="6664" w:type="dxa"/>
            <w:tcBorders>
              <w:top w:val="single" w:sz="4" w:space="0" w:color="000000"/>
              <w:start w:val="single" w:sz="4" w:space="0" w:color="000000"/>
              <w:bottom w:val="single" w:sz="4" w:space="0" w:color="000000"/>
              <w:end w:val="single" w:sz="4" w:space="0" w:color="000000"/>
            </w:tcBorders>
            <w:vAlign w:val="center"/>
          </w:tcPr>
          <w:p>
            <w:pPr>
              <w:pStyle w:val="user"/>
              <w:jc w:val="center"/>
              <w:rPr/>
            </w:pPr>
            <w:r>
              <w:rPr/>
              <w:t>Отопление, вентиляция и кондиционирование воздуха</w:t>
            </w:r>
          </w:p>
        </w:tc>
      </w:tr>
      <w:tr>
        <w:trPr/>
        <w:tc>
          <w:tcPr>
            <w:tcW w:w="2829" w:type="dxa"/>
            <w:tcBorders>
              <w:top w:val="single" w:sz="4" w:space="0" w:color="000000"/>
              <w:start w:val="single" w:sz="4" w:space="0" w:color="000000"/>
              <w:bottom w:val="single" w:sz="4" w:space="0" w:color="000000"/>
              <w:end w:val="single" w:sz="4" w:space="0" w:color="000000"/>
            </w:tcBorders>
            <w:vAlign w:val="center"/>
          </w:tcPr>
          <w:p>
            <w:pPr>
              <w:pStyle w:val="user"/>
              <w:jc w:val="center"/>
              <w:rPr/>
            </w:pPr>
            <w:r>
              <w:rPr/>
              <w:t>Бадаев</w:t>
              <w:br/>
              <w:t>Сергей Юрьевич</w:t>
            </w:r>
          </w:p>
        </w:tc>
        <w:tc>
          <w:tcPr>
            <w:tcW w:w="6664" w:type="dxa"/>
            <w:tcBorders>
              <w:top w:val="single" w:sz="4" w:space="0" w:color="000000"/>
              <w:start w:val="single" w:sz="4" w:space="0" w:color="000000"/>
              <w:bottom w:val="single" w:sz="4" w:space="0" w:color="000000"/>
              <w:end w:val="single" w:sz="4" w:space="0" w:color="000000"/>
            </w:tcBorders>
            <w:vAlign w:val="center"/>
          </w:tcPr>
          <w:p>
            <w:pPr>
              <w:pStyle w:val="user"/>
              <w:jc w:val="center"/>
              <w:rPr/>
            </w:pPr>
            <w:r>
              <w:rPr/>
              <w:t>Водоснабжение и водоотведение</w:t>
            </w:r>
          </w:p>
        </w:tc>
      </w:tr>
      <w:tr>
        <w:trPr/>
        <w:tc>
          <w:tcPr>
            <w:tcW w:w="2829" w:type="dxa"/>
            <w:tcBorders>
              <w:top w:val="single" w:sz="4" w:space="0" w:color="000000"/>
              <w:start w:val="single" w:sz="4" w:space="0" w:color="000000"/>
              <w:bottom w:val="single" w:sz="4" w:space="0" w:color="000000"/>
              <w:end w:val="single" w:sz="4" w:space="0" w:color="000000"/>
            </w:tcBorders>
            <w:vAlign w:val="center"/>
          </w:tcPr>
          <w:p>
            <w:pPr>
              <w:pStyle w:val="user"/>
              <w:jc w:val="center"/>
              <w:rPr/>
            </w:pPr>
            <w:r>
              <w:rPr/>
              <w:t>Гаврилова Екатерина Васильевна</w:t>
            </w:r>
          </w:p>
        </w:tc>
        <w:tc>
          <w:tcPr>
            <w:tcW w:w="6664" w:type="dxa"/>
            <w:tcBorders>
              <w:top w:val="single" w:sz="4" w:space="0" w:color="000000"/>
              <w:start w:val="single" w:sz="4" w:space="0" w:color="000000"/>
              <w:bottom w:val="single" w:sz="4" w:space="0" w:color="000000"/>
              <w:end w:val="single" w:sz="4" w:space="0" w:color="000000"/>
            </w:tcBorders>
            <w:vAlign w:val="center"/>
          </w:tcPr>
          <w:p>
            <w:pPr>
              <w:pStyle w:val="user"/>
              <w:jc w:val="center"/>
              <w:rPr/>
            </w:pPr>
            <w:r>
              <w:rPr/>
              <w:t>Технологические решения вспомогательных объектов</w:t>
            </w:r>
          </w:p>
        </w:tc>
      </w:tr>
      <w:tr>
        <w:trPr/>
        <w:tc>
          <w:tcPr>
            <w:tcW w:w="2829" w:type="dxa"/>
            <w:tcBorders>
              <w:top w:val="single" w:sz="4" w:space="0" w:color="000000"/>
              <w:start w:val="single" w:sz="4" w:space="0" w:color="000000"/>
              <w:bottom w:val="single" w:sz="4" w:space="0" w:color="000000"/>
              <w:end w:val="single" w:sz="4" w:space="0" w:color="000000"/>
            </w:tcBorders>
            <w:vAlign w:val="center"/>
          </w:tcPr>
          <w:p>
            <w:pPr>
              <w:pStyle w:val="user"/>
              <w:jc w:val="center"/>
              <w:rPr/>
            </w:pPr>
            <w:r>
              <w:rPr/>
              <w:t>Мишуренко</w:t>
              <w:br/>
              <w:t>Николай Александрович</w:t>
            </w:r>
          </w:p>
        </w:tc>
        <w:tc>
          <w:tcPr>
            <w:tcW w:w="6664" w:type="dxa"/>
            <w:tcBorders>
              <w:top w:val="single" w:sz="4" w:space="0" w:color="000000"/>
              <w:start w:val="single" w:sz="4" w:space="0" w:color="000000"/>
              <w:bottom w:val="single" w:sz="4" w:space="0" w:color="000000"/>
              <w:end w:val="single" w:sz="4" w:space="0" w:color="000000"/>
            </w:tcBorders>
            <w:vAlign w:val="center"/>
          </w:tcPr>
          <w:p>
            <w:pPr>
              <w:pStyle w:val="user"/>
              <w:jc w:val="center"/>
              <w:rPr/>
            </w:pPr>
            <w:r>
              <w:rPr/>
              <w:t>Куратор проекта</w:t>
            </w:r>
          </w:p>
        </w:tc>
      </w:tr>
      <w:tr>
        <w:trPr/>
        <w:tc>
          <w:tcPr>
            <w:tcW w:w="2829" w:type="dxa"/>
            <w:tcBorders>
              <w:top w:val="single" w:sz="4" w:space="0" w:color="000000"/>
              <w:start w:val="single" w:sz="4" w:space="0" w:color="000000"/>
              <w:bottom w:val="single" w:sz="4" w:space="0" w:color="000000"/>
              <w:end w:val="single" w:sz="4" w:space="0" w:color="000000"/>
            </w:tcBorders>
            <w:vAlign w:val="center"/>
          </w:tcPr>
          <w:p>
            <w:pPr>
              <w:pStyle w:val="user"/>
              <w:jc w:val="center"/>
              <w:rPr/>
            </w:pPr>
            <w:r>
              <w:rPr/>
              <w:t>Крылов</w:t>
              <w:br/>
              <w:t>Иван Сергеевич</w:t>
            </w:r>
          </w:p>
        </w:tc>
        <w:tc>
          <w:tcPr>
            <w:tcW w:w="6664" w:type="dxa"/>
            <w:tcBorders>
              <w:top w:val="single" w:sz="4" w:space="0" w:color="000000"/>
              <w:start w:val="single" w:sz="4" w:space="0" w:color="000000"/>
              <w:bottom w:val="single" w:sz="4" w:space="0" w:color="000000"/>
              <w:end w:val="single" w:sz="4" w:space="0" w:color="000000"/>
            </w:tcBorders>
            <w:vAlign w:val="center"/>
          </w:tcPr>
          <w:p>
            <w:pPr>
              <w:pStyle w:val="user"/>
              <w:jc w:val="center"/>
              <w:rPr/>
            </w:pPr>
            <w:r>
              <w:rPr/>
              <w:t>Общие вопросы</w:t>
            </w:r>
          </w:p>
        </w:tc>
      </w:tr>
    </w:tbl>
    <w:p>
      <w:pPr>
        <w:pStyle w:val="Normal"/>
        <w:widowControl w:val="false"/>
        <w:spacing w:lineRule="auto" w:line="240" w:before="120" w:after="120"/>
        <w:rPr>
          <w:rFonts w:cs="Times New Roman"/>
          <w:b/>
        </w:rPr>
      </w:pPr>
      <w:r>
        <w:rPr>
          <w:rFonts w:cs="Times New Roman"/>
          <w:b/>
        </w:rPr>
      </w:r>
    </w:p>
    <w:p>
      <w:pPr>
        <w:pStyle w:val="Normal"/>
        <w:rPr>
          <w:rFonts w:cs="Times New Roman"/>
          <w:szCs w:val="24"/>
        </w:rPr>
      </w:pPr>
      <w:r>
        <w:rPr>
          <w:rFonts w:cs="Times New Roman"/>
          <w:szCs w:val="24"/>
        </w:rPr>
      </w:r>
    </w:p>
    <w:sdt>
      <w:sdtPr>
        <w:docPartObj>
          <w:docPartGallery w:val="Table of Contents"/>
          <w:docPartUnique w:val="true"/>
        </w:docPartObj>
      </w:sdtPr>
      <w:sdtContent>
        <w:p>
          <w:pPr>
            <w:pStyle w:val="TOCHeading"/>
            <w:spacing w:before="0" w:after="240"/>
            <w:ind w:hanging="0" w:start="0"/>
            <w:rPr/>
          </w:pPr>
          <w:r>
            <w:br w:type="page"/>
          </w:r>
          <w:r>
            <w:rPr/>
            <w:t>Содеражние</w:t>
          </w:r>
        </w:p>
        <w:p>
          <w:pPr>
            <w:pStyle w:val="TOC1"/>
            <w:rPr>
              <w:rFonts w:ascii="Calibri" w:hAnsi="Calibri" w:asciiTheme="minorHAnsi" w:hAnsiTheme="minorHAnsi"/>
              <w:color w:val="auto"/>
              <w:sz w:val="22"/>
              <w:lang w:eastAsia="ru-RU"/>
            </w:rPr>
          </w:pPr>
          <w:r>
            <w:fldChar w:fldCharType="begin"/>
          </w:r>
          <w:r>
            <w:rPr>
              <w:rStyle w:val="Style23"/>
              <w:webHidden/>
            </w:rPr>
            <w:instrText xml:space="preserve"> TOC \z \o "1-1" \u \h</w:instrText>
          </w:r>
          <w:r>
            <w:rPr>
              <w:rStyle w:val="Style23"/>
              <w:webHidden/>
            </w:rPr>
            <w:fldChar w:fldCharType="separate"/>
          </w:r>
          <w:hyperlink w:anchor="_Toc229476893">
            <w:r>
              <w:rPr>
                <w:rStyle w:val="Style23"/>
                <w:webHidden/>
              </w:rPr>
              <w:t>1 Введение</w:t>
            </w:r>
            <w:r>
              <w:rPr>
                <w:webHidden/>
              </w:rPr>
              <w:fldChar w:fldCharType="begin"/>
            </w:r>
            <w:r>
              <w:rPr>
                <w:webHidden/>
              </w:rPr>
              <w:instrText xml:space="preserve">PAGEREF _Toc229476893 \h</w:instrText>
            </w:r>
            <w:r>
              <w:rPr>
                <w:webHidden/>
              </w:rPr>
              <w:fldChar w:fldCharType="separate"/>
            </w:r>
            <w:r>
              <w:rPr>
                <w:rStyle w:val="Style23"/>
                <w:vanish w:val="false"/>
              </w:rPr>
              <w:tab/>
              <w:t>4</w:t>
            </w:r>
            <w:r>
              <w:rPr>
                <w:webHidden/>
              </w:rPr>
              <w:fldChar w:fldCharType="end"/>
            </w:r>
          </w:hyperlink>
        </w:p>
        <w:p>
          <w:pPr>
            <w:pStyle w:val="TOC1"/>
            <w:rPr>
              <w:rFonts w:ascii="Calibri" w:hAnsi="Calibri" w:asciiTheme="minorHAnsi" w:hAnsiTheme="minorHAnsi"/>
              <w:color w:val="auto"/>
              <w:sz w:val="22"/>
              <w:lang w:eastAsia="ru-RU"/>
            </w:rPr>
          </w:pPr>
          <w:hyperlink w:anchor="_Toc229476894">
            <w:r>
              <w:rPr>
                <w:rStyle w:val="Style23"/>
                <w:webHidden/>
              </w:rPr>
              <w:t>2 Нормативные ссылки</w:t>
            </w:r>
            <w:r>
              <w:rPr>
                <w:webHidden/>
              </w:rPr>
              <w:fldChar w:fldCharType="begin"/>
            </w:r>
            <w:r>
              <w:rPr>
                <w:webHidden/>
              </w:rPr>
              <w:instrText xml:space="preserve">PAGEREF _Toc229476894 \h</w:instrText>
            </w:r>
            <w:r>
              <w:rPr>
                <w:webHidden/>
              </w:rPr>
              <w:fldChar w:fldCharType="separate"/>
            </w:r>
            <w:r>
              <w:rPr>
                <w:rStyle w:val="Style23"/>
                <w:vanish w:val="false"/>
              </w:rPr>
              <w:tab/>
              <w:t>6</w:t>
            </w:r>
            <w:r>
              <w:rPr>
                <w:webHidden/>
              </w:rPr>
              <w:fldChar w:fldCharType="end"/>
            </w:r>
          </w:hyperlink>
        </w:p>
        <w:p>
          <w:pPr>
            <w:pStyle w:val="TOC1"/>
            <w:rPr>
              <w:rFonts w:ascii="Calibri" w:hAnsi="Calibri" w:asciiTheme="minorHAnsi" w:hAnsiTheme="minorHAnsi"/>
              <w:color w:val="auto"/>
              <w:sz w:val="22"/>
              <w:lang w:eastAsia="ru-RU"/>
            </w:rPr>
          </w:pPr>
          <w:hyperlink w:anchor="_Toc229476895">
            <w:r>
              <w:rPr>
                <w:rStyle w:val="Style23"/>
                <w:webHidden/>
              </w:rPr>
              <w:t>3 Термины, определения и сокращения</w:t>
            </w:r>
            <w:r>
              <w:rPr>
                <w:webHidden/>
              </w:rPr>
              <w:fldChar w:fldCharType="begin"/>
            </w:r>
            <w:r>
              <w:rPr>
                <w:webHidden/>
              </w:rPr>
              <w:instrText xml:space="preserve">PAGEREF _Toc229476895 \h</w:instrText>
            </w:r>
            <w:r>
              <w:rPr>
                <w:webHidden/>
              </w:rPr>
              <w:fldChar w:fldCharType="separate"/>
            </w:r>
            <w:r>
              <w:rPr>
                <w:rStyle w:val="Style23"/>
                <w:vanish w:val="false"/>
              </w:rPr>
              <w:tab/>
              <w:t>10</w:t>
            </w:r>
            <w:r>
              <w:rPr>
                <w:webHidden/>
              </w:rPr>
              <w:fldChar w:fldCharType="end"/>
            </w:r>
          </w:hyperlink>
        </w:p>
        <w:p>
          <w:pPr>
            <w:pStyle w:val="TOC1"/>
            <w:rPr>
              <w:rFonts w:ascii="Calibri" w:hAnsi="Calibri" w:asciiTheme="minorHAnsi" w:hAnsiTheme="minorHAnsi"/>
              <w:color w:val="auto"/>
              <w:sz w:val="22"/>
              <w:lang w:eastAsia="ru-RU"/>
            </w:rPr>
          </w:pPr>
          <w:hyperlink w:anchor="_Toc229476896">
            <w:r>
              <w:rPr>
                <w:rStyle w:val="Style23"/>
                <w:webHidden/>
              </w:rPr>
              <w:t>4 Проектная команда</w:t>
            </w:r>
            <w:r>
              <w:rPr>
                <w:webHidden/>
              </w:rPr>
              <w:fldChar w:fldCharType="begin"/>
            </w:r>
            <w:r>
              <w:rPr>
                <w:webHidden/>
              </w:rPr>
              <w:instrText xml:space="preserve">PAGEREF _Toc229476896 \h</w:instrText>
            </w:r>
            <w:r>
              <w:rPr>
                <w:webHidden/>
              </w:rPr>
              <w:fldChar w:fldCharType="separate"/>
            </w:r>
            <w:r>
              <w:rPr>
                <w:rStyle w:val="Style23"/>
                <w:vanish w:val="false"/>
              </w:rPr>
              <w:tab/>
              <w:t>11</w:t>
            </w:r>
            <w:r>
              <w:rPr>
                <w:webHidden/>
              </w:rPr>
              <w:fldChar w:fldCharType="end"/>
            </w:r>
          </w:hyperlink>
        </w:p>
        <w:p>
          <w:pPr>
            <w:pStyle w:val="TOC1"/>
            <w:rPr>
              <w:rFonts w:ascii="Calibri" w:hAnsi="Calibri" w:asciiTheme="minorHAnsi" w:hAnsiTheme="minorHAnsi"/>
              <w:color w:val="auto"/>
              <w:sz w:val="22"/>
              <w:lang w:eastAsia="ru-RU"/>
            </w:rPr>
          </w:pPr>
          <w:hyperlink w:anchor="_Toc229476897">
            <w:r>
              <w:rPr>
                <w:rStyle w:val="Style23"/>
                <w:webHidden/>
              </w:rPr>
              <w:t>5 Исходные данные</w:t>
            </w:r>
            <w:r>
              <w:rPr>
                <w:webHidden/>
              </w:rPr>
              <w:fldChar w:fldCharType="begin"/>
            </w:r>
            <w:r>
              <w:rPr>
                <w:webHidden/>
              </w:rPr>
              <w:instrText xml:space="preserve">PAGEREF _Toc229476897 \h</w:instrText>
            </w:r>
            <w:r>
              <w:rPr>
                <w:webHidden/>
              </w:rPr>
              <w:fldChar w:fldCharType="separate"/>
            </w:r>
            <w:r>
              <w:rPr>
                <w:rStyle w:val="Style23"/>
                <w:vanish w:val="false"/>
              </w:rPr>
              <w:tab/>
              <w:t>12</w:t>
            </w:r>
            <w:r>
              <w:rPr>
                <w:webHidden/>
              </w:rPr>
              <w:fldChar w:fldCharType="end"/>
            </w:r>
          </w:hyperlink>
        </w:p>
        <w:p>
          <w:pPr>
            <w:pStyle w:val="TOC1"/>
            <w:rPr>
              <w:rFonts w:ascii="Calibri" w:hAnsi="Calibri" w:asciiTheme="minorHAnsi" w:hAnsiTheme="minorHAnsi"/>
              <w:color w:val="auto"/>
              <w:sz w:val="22"/>
              <w:lang w:eastAsia="ru-RU"/>
            </w:rPr>
          </w:pPr>
          <w:hyperlink w:anchor="_Toc229476898">
            <w:r>
              <w:rPr>
                <w:rStyle w:val="Style23"/>
                <w:webHidden/>
              </w:rPr>
              <w:t>6 Архитектурные решения</w:t>
            </w:r>
            <w:r>
              <w:rPr>
                <w:webHidden/>
              </w:rPr>
              <w:fldChar w:fldCharType="begin"/>
            </w:r>
            <w:r>
              <w:rPr>
                <w:webHidden/>
              </w:rPr>
              <w:instrText xml:space="preserve">PAGEREF _Toc229476898 \h</w:instrText>
            </w:r>
            <w:r>
              <w:rPr>
                <w:webHidden/>
              </w:rPr>
              <w:fldChar w:fldCharType="separate"/>
            </w:r>
            <w:r>
              <w:rPr>
                <w:rStyle w:val="Style23"/>
                <w:vanish w:val="false"/>
              </w:rPr>
              <w:tab/>
              <w:t>13</w:t>
            </w:r>
            <w:r>
              <w:rPr>
                <w:webHidden/>
              </w:rPr>
              <w:fldChar w:fldCharType="end"/>
            </w:r>
          </w:hyperlink>
        </w:p>
        <w:p>
          <w:pPr>
            <w:pStyle w:val="TOC1"/>
            <w:rPr>
              <w:rFonts w:ascii="Calibri" w:hAnsi="Calibri" w:asciiTheme="minorHAnsi" w:hAnsiTheme="minorHAnsi"/>
              <w:color w:val="auto"/>
              <w:sz w:val="22"/>
              <w:lang w:eastAsia="ru-RU"/>
            </w:rPr>
          </w:pPr>
          <w:hyperlink w:anchor="_Toc229476899">
            <w:r>
              <w:rPr>
                <w:rStyle w:val="Style23"/>
                <w:webHidden/>
              </w:rPr>
              <w:t>7 Конструктивные решения</w:t>
            </w:r>
            <w:r>
              <w:rPr>
                <w:webHidden/>
              </w:rPr>
              <w:fldChar w:fldCharType="begin"/>
            </w:r>
            <w:r>
              <w:rPr>
                <w:webHidden/>
              </w:rPr>
              <w:instrText xml:space="preserve">PAGEREF _Toc229476899 \h</w:instrText>
            </w:r>
            <w:r>
              <w:rPr>
                <w:webHidden/>
              </w:rPr>
              <w:fldChar w:fldCharType="separate"/>
            </w:r>
            <w:r>
              <w:rPr>
                <w:rStyle w:val="Style23"/>
                <w:vanish w:val="false"/>
              </w:rPr>
              <w:tab/>
              <w:t>15</w:t>
            </w:r>
            <w:r>
              <w:rPr>
                <w:webHidden/>
              </w:rPr>
              <w:fldChar w:fldCharType="end"/>
            </w:r>
          </w:hyperlink>
        </w:p>
        <w:p>
          <w:pPr>
            <w:pStyle w:val="TOC1"/>
            <w:rPr>
              <w:rFonts w:ascii="Calibri" w:hAnsi="Calibri" w:asciiTheme="minorHAnsi" w:hAnsiTheme="minorHAnsi"/>
              <w:color w:val="auto"/>
              <w:sz w:val="22"/>
              <w:lang w:eastAsia="ru-RU"/>
            </w:rPr>
          </w:pPr>
          <w:hyperlink w:anchor="_Toc229476900">
            <w:r>
              <w:rPr>
                <w:rStyle w:val="Style23"/>
                <w:webHidden/>
              </w:rPr>
              <w:t>8 Решения по отоплению, вентиляции и кондиционированию</w:t>
            </w:r>
            <w:r>
              <w:rPr>
                <w:webHidden/>
              </w:rPr>
              <w:fldChar w:fldCharType="begin"/>
            </w:r>
            <w:r>
              <w:rPr>
                <w:webHidden/>
              </w:rPr>
              <w:instrText xml:space="preserve">PAGEREF _Toc229476900 \h</w:instrText>
            </w:r>
            <w:r>
              <w:rPr>
                <w:webHidden/>
              </w:rPr>
              <w:fldChar w:fldCharType="separate"/>
            </w:r>
            <w:r>
              <w:rPr>
                <w:rStyle w:val="Style23"/>
                <w:vanish w:val="false"/>
              </w:rPr>
              <w:tab/>
              <w:t>16</w:t>
            </w:r>
            <w:r>
              <w:rPr>
                <w:webHidden/>
              </w:rPr>
              <w:fldChar w:fldCharType="end"/>
            </w:r>
          </w:hyperlink>
        </w:p>
        <w:p>
          <w:pPr>
            <w:pStyle w:val="TOC1"/>
            <w:rPr>
              <w:rFonts w:ascii="Calibri" w:hAnsi="Calibri" w:asciiTheme="minorHAnsi" w:hAnsiTheme="minorHAnsi"/>
              <w:color w:val="auto"/>
              <w:sz w:val="22"/>
              <w:lang w:eastAsia="ru-RU"/>
            </w:rPr>
          </w:pPr>
          <w:hyperlink w:anchor="_Toc229476901">
            <w:r>
              <w:rPr>
                <w:rStyle w:val="Style23"/>
                <w:webHidden/>
              </w:rPr>
              <w:t>9 Решения по водоснабжению и водоотведению</w:t>
            </w:r>
            <w:r>
              <w:rPr>
                <w:webHidden/>
              </w:rPr>
              <w:fldChar w:fldCharType="begin"/>
            </w:r>
            <w:r>
              <w:rPr>
                <w:webHidden/>
              </w:rPr>
              <w:instrText xml:space="preserve">PAGEREF _Toc229476901 \h</w:instrText>
            </w:r>
            <w:r>
              <w:rPr>
                <w:webHidden/>
              </w:rPr>
              <w:fldChar w:fldCharType="separate"/>
            </w:r>
            <w:r>
              <w:rPr>
                <w:rStyle w:val="Style23"/>
                <w:vanish w:val="false"/>
              </w:rPr>
              <w:tab/>
              <w:t>17</w:t>
            </w:r>
            <w:r>
              <w:rPr>
                <w:webHidden/>
              </w:rPr>
              <w:fldChar w:fldCharType="end"/>
            </w:r>
          </w:hyperlink>
        </w:p>
        <w:p>
          <w:pPr>
            <w:pStyle w:val="TOC1"/>
            <w:rPr>
              <w:rFonts w:ascii="Calibri" w:hAnsi="Calibri" w:asciiTheme="minorHAnsi" w:hAnsiTheme="minorHAnsi"/>
              <w:color w:val="auto"/>
              <w:sz w:val="22"/>
              <w:lang w:eastAsia="ru-RU"/>
            </w:rPr>
          </w:pPr>
          <w:hyperlink w:anchor="_Toc229476902">
            <w:r>
              <w:rPr>
                <w:rStyle w:val="Style23"/>
                <w:webHidden/>
              </w:rPr>
              <w:t>10 Решения по технологической части</w:t>
            </w:r>
            <w:r>
              <w:rPr>
                <w:webHidden/>
              </w:rPr>
              <w:fldChar w:fldCharType="begin"/>
            </w:r>
            <w:r>
              <w:rPr>
                <w:webHidden/>
              </w:rPr>
              <w:instrText xml:space="preserve">PAGEREF _Toc229476902 \h</w:instrText>
            </w:r>
            <w:r>
              <w:rPr>
                <w:webHidden/>
              </w:rPr>
              <w:fldChar w:fldCharType="separate"/>
            </w:r>
            <w:r>
              <w:rPr>
                <w:rStyle w:val="Style23"/>
                <w:vanish w:val="false"/>
              </w:rPr>
              <w:tab/>
              <w:t>19</w:t>
            </w:r>
            <w:r>
              <w:rPr>
                <w:webHidden/>
              </w:rPr>
              <w:fldChar w:fldCharType="end"/>
            </w:r>
          </w:hyperlink>
        </w:p>
        <w:p>
          <w:pPr>
            <w:pStyle w:val="TOC1"/>
            <w:rPr>
              <w:rFonts w:ascii="Calibri" w:hAnsi="Calibri" w:asciiTheme="minorHAnsi" w:hAnsiTheme="minorHAnsi"/>
              <w:color w:val="auto"/>
              <w:sz w:val="22"/>
              <w:lang w:eastAsia="ru-RU"/>
            </w:rPr>
          </w:pPr>
          <w:hyperlink w:anchor="_Toc229476903">
            <w:r>
              <w:rPr>
                <w:rStyle w:val="Style23"/>
                <w:webHidden/>
              </w:rPr>
              <w:t>11 Требования к разработке ЦИМ</w:t>
            </w:r>
            <w:r>
              <w:rPr>
                <w:webHidden/>
              </w:rPr>
              <w:fldChar w:fldCharType="begin"/>
            </w:r>
            <w:r>
              <w:rPr>
                <w:webHidden/>
              </w:rPr>
              <w:instrText xml:space="preserve">PAGEREF _Toc229476903 \h</w:instrText>
            </w:r>
            <w:r>
              <w:rPr>
                <w:webHidden/>
              </w:rPr>
              <w:fldChar w:fldCharType="separate"/>
            </w:r>
            <w:r>
              <w:rPr>
                <w:rStyle w:val="Style23"/>
                <w:vanish w:val="false"/>
              </w:rPr>
              <w:tab/>
              <w:t>21</w:t>
            </w:r>
            <w:r>
              <w:rPr>
                <w:webHidden/>
              </w:rPr>
              <w:fldChar w:fldCharType="end"/>
            </w:r>
          </w:hyperlink>
        </w:p>
        <w:p>
          <w:pPr>
            <w:pStyle w:val="TOC1"/>
            <w:rPr>
              <w:rFonts w:ascii="Calibri" w:hAnsi="Calibri" w:asciiTheme="minorHAnsi" w:hAnsiTheme="minorHAnsi"/>
              <w:color w:val="auto"/>
              <w:sz w:val="22"/>
              <w:lang w:eastAsia="ru-RU"/>
            </w:rPr>
          </w:pPr>
          <w:hyperlink w:anchor="_Toc229476904">
            <w:r>
              <w:rPr>
                <w:rStyle w:val="Style23"/>
                <w:webHidden/>
              </w:rPr>
              <w:t>12 Консультации</w:t>
            </w:r>
            <w:r>
              <w:rPr>
                <w:webHidden/>
              </w:rPr>
              <w:fldChar w:fldCharType="begin"/>
            </w:r>
            <w:r>
              <w:rPr>
                <w:webHidden/>
              </w:rPr>
              <w:instrText xml:space="preserve">PAGEREF _Toc229476904 \h</w:instrText>
            </w:r>
            <w:r>
              <w:rPr>
                <w:webHidden/>
              </w:rPr>
              <w:fldChar w:fldCharType="separate"/>
            </w:r>
            <w:r>
              <w:rPr>
                <w:rStyle w:val="Style23"/>
                <w:vanish w:val="false"/>
              </w:rPr>
              <w:tab/>
              <w:t>22</w:t>
            </w:r>
            <w:r>
              <w:rPr>
                <w:webHidden/>
              </w:rPr>
              <w:fldChar w:fldCharType="end"/>
            </w:r>
          </w:hyperlink>
        </w:p>
        <w:p>
          <w:pPr>
            <w:pStyle w:val="TOC1"/>
            <w:rPr>
              <w:rFonts w:ascii="Calibri" w:hAnsi="Calibri" w:asciiTheme="minorHAnsi" w:hAnsiTheme="minorHAnsi"/>
              <w:color w:val="auto"/>
              <w:sz w:val="22"/>
              <w:lang w:eastAsia="ru-RU"/>
            </w:rPr>
          </w:pPr>
          <w:hyperlink w:anchor="_Toc229476905">
            <w:r>
              <w:rPr>
                <w:rStyle w:val="Style23"/>
                <w:webHidden/>
              </w:rPr>
              <w:t>13 Рекомендации по организации проектирования</w:t>
            </w:r>
            <w:r>
              <w:rPr>
                <w:webHidden/>
              </w:rPr>
              <w:fldChar w:fldCharType="begin"/>
            </w:r>
            <w:r>
              <w:rPr>
                <w:webHidden/>
              </w:rPr>
              <w:instrText xml:space="preserve">PAGEREF _Toc229476905 \h</w:instrText>
            </w:r>
            <w:r>
              <w:rPr>
                <w:webHidden/>
              </w:rPr>
              <w:fldChar w:fldCharType="separate"/>
            </w:r>
            <w:r>
              <w:rPr>
                <w:rStyle w:val="Style23"/>
                <w:vanish w:val="false"/>
              </w:rPr>
              <w:tab/>
              <w:t>23</w:t>
            </w:r>
            <w:r>
              <w:rPr>
                <w:webHidden/>
              </w:rPr>
              <w:fldChar w:fldCharType="end"/>
            </w:r>
          </w:hyperlink>
        </w:p>
        <w:p>
          <w:pPr>
            <w:pStyle w:val="TOC1"/>
            <w:rPr>
              <w:rFonts w:ascii="Calibri" w:hAnsi="Calibri" w:asciiTheme="minorHAnsi" w:hAnsiTheme="minorHAnsi"/>
              <w:color w:val="auto"/>
              <w:sz w:val="22"/>
              <w:lang w:eastAsia="ru-RU"/>
            </w:rPr>
          </w:pPr>
          <w:hyperlink w:anchor="_Toc229476906">
            <w:r>
              <w:rPr>
                <w:rStyle w:val="Style23"/>
                <w:webHidden/>
              </w:rPr>
              <w:t>Приложение А Материалы инженерных изысканий</w:t>
            </w:r>
            <w:r>
              <w:rPr>
                <w:webHidden/>
              </w:rPr>
              <w:fldChar w:fldCharType="begin"/>
            </w:r>
            <w:r>
              <w:rPr>
                <w:webHidden/>
              </w:rPr>
              <w:instrText xml:space="preserve">PAGEREF _Toc229476906 \h</w:instrText>
            </w:r>
            <w:r>
              <w:rPr>
                <w:webHidden/>
              </w:rPr>
              <w:fldChar w:fldCharType="separate"/>
            </w:r>
            <w:r>
              <w:rPr>
                <w:rStyle w:val="Style23"/>
                <w:vanish w:val="false"/>
              </w:rPr>
              <w:tab/>
              <w:t>24</w:t>
            </w:r>
            <w:r>
              <w:rPr>
                <w:webHidden/>
              </w:rPr>
              <w:fldChar w:fldCharType="end"/>
            </w:r>
          </w:hyperlink>
        </w:p>
        <w:p>
          <w:pPr>
            <w:pStyle w:val="TOC1"/>
            <w:rPr>
              <w:rFonts w:ascii="Calibri" w:hAnsi="Calibri" w:asciiTheme="minorHAnsi" w:hAnsiTheme="minorHAnsi"/>
              <w:color w:val="auto"/>
              <w:sz w:val="22"/>
              <w:lang w:eastAsia="ru-RU"/>
            </w:rPr>
          </w:pPr>
          <w:hyperlink w:anchor="_Toc229476907">
            <w:r>
              <w:rPr>
                <w:rStyle w:val="Style23"/>
                <w:webHidden/>
              </w:rPr>
              <w:t>Приложение Б Архитектурный промежуток</w:t>
            </w:r>
            <w:r>
              <w:rPr>
                <w:webHidden/>
              </w:rPr>
              <w:fldChar w:fldCharType="begin"/>
            </w:r>
            <w:r>
              <w:rPr>
                <w:webHidden/>
              </w:rPr>
              <w:instrText xml:space="preserve">PAGEREF _Toc229476907 \h</w:instrText>
            </w:r>
            <w:r>
              <w:rPr>
                <w:webHidden/>
              </w:rPr>
              <w:fldChar w:fldCharType="separate"/>
            </w:r>
            <w:r>
              <w:rPr>
                <w:rStyle w:val="Style23"/>
                <w:vanish w:val="false"/>
              </w:rPr>
              <w:tab/>
              <w:t>25</w:t>
            </w:r>
            <w:r>
              <w:rPr>
                <w:webHidden/>
              </w:rPr>
              <w:fldChar w:fldCharType="end"/>
            </w:r>
          </w:hyperlink>
        </w:p>
        <w:p>
          <w:pPr>
            <w:pStyle w:val="TOC1"/>
            <w:rPr>
              <w:rFonts w:ascii="Calibri" w:hAnsi="Calibri" w:asciiTheme="minorHAnsi" w:hAnsiTheme="minorHAnsi"/>
              <w:color w:val="auto"/>
              <w:sz w:val="22"/>
              <w:lang w:eastAsia="ru-RU"/>
            </w:rPr>
          </w:pPr>
          <w:hyperlink w:anchor="_Toc229476908">
            <w:r>
              <w:rPr>
                <w:rStyle w:val="Style23"/>
                <w:webHidden/>
              </w:rPr>
              <w:t>Приложение В Актуальный ЭПС</w:t>
            </w:r>
            <w:r>
              <w:rPr>
                <w:webHidden/>
              </w:rPr>
              <w:fldChar w:fldCharType="begin"/>
            </w:r>
            <w:r>
              <w:rPr>
                <w:webHidden/>
              </w:rPr>
              <w:instrText xml:space="preserve">PAGEREF _Toc229476908 \h</w:instrText>
            </w:r>
            <w:r>
              <w:rPr>
                <w:webHidden/>
              </w:rPr>
              <w:fldChar w:fldCharType="separate"/>
            </w:r>
            <w:r>
              <w:rPr>
                <w:rStyle w:val="Style23"/>
                <w:vanish w:val="false"/>
              </w:rPr>
              <w:tab/>
              <w:t>27</w:t>
            </w:r>
            <w:r>
              <w:rPr>
                <w:webHidden/>
              </w:rPr>
              <w:fldChar w:fldCharType="end"/>
            </w:r>
          </w:hyperlink>
        </w:p>
        <w:p>
          <w:pPr>
            <w:pStyle w:val="TOC1"/>
            <w:rPr>
              <w:rFonts w:ascii="Calibri" w:hAnsi="Calibri" w:asciiTheme="minorHAnsi" w:hAnsiTheme="minorHAnsi"/>
              <w:color w:val="auto"/>
              <w:sz w:val="22"/>
              <w:lang w:eastAsia="ru-RU"/>
            </w:rPr>
          </w:pPr>
          <w:hyperlink w:anchor="_Toc229476909">
            <w:r>
              <w:rPr>
                <w:rStyle w:val="Style23"/>
                <w:webHidden/>
              </w:rPr>
              <w:t>Приложение Г Генплан</w:t>
            </w:r>
            <w:r>
              <w:rPr>
                <w:webHidden/>
              </w:rPr>
              <w:fldChar w:fldCharType="begin"/>
            </w:r>
            <w:r>
              <w:rPr>
                <w:webHidden/>
              </w:rPr>
              <w:instrText xml:space="preserve">PAGEREF _Toc229476909 \h</w:instrText>
            </w:r>
            <w:r>
              <w:rPr>
                <w:webHidden/>
              </w:rPr>
              <w:fldChar w:fldCharType="separate"/>
            </w:r>
            <w:r>
              <w:rPr>
                <w:rStyle w:val="Style23"/>
                <w:vanish w:val="false"/>
              </w:rPr>
              <w:tab/>
              <w:t>28</w:t>
            </w:r>
            <w:r>
              <w:rPr>
                <w:webHidden/>
              </w:rPr>
              <w:fldChar w:fldCharType="end"/>
            </w:r>
          </w:hyperlink>
        </w:p>
        <w:p>
          <w:pPr>
            <w:pStyle w:val="Normal"/>
            <w:rPr/>
          </w:pPr>
          <w:r>
            <w:rPr/>
          </w:r>
          <w:r>
            <w:rPr/>
            <w:fldChar w:fldCharType="end"/>
          </w:r>
        </w:p>
      </w:sdtContent>
    </w:sdt>
    <w:p>
      <w:pPr>
        <w:pStyle w:val="Normal"/>
        <w:spacing w:lineRule="auto" w:line="240"/>
        <w:rPr>
          <w:rFonts w:cs="Times New Roman"/>
          <w:szCs w:val="24"/>
        </w:rPr>
      </w:pPr>
      <w:r>
        <w:rPr>
          <w:rFonts w:cs="Times New Roman"/>
          <w:szCs w:val="24"/>
        </w:rPr>
      </w:r>
    </w:p>
    <w:p>
      <w:pPr>
        <w:pStyle w:val="TOC1"/>
        <w:rPr/>
      </w:pPr>
      <w:r>
        <w:rPr/>
      </w:r>
      <w:bookmarkStart w:id="2" w:name="_GoBack"/>
      <w:bookmarkStart w:id="3" w:name="_GoBack"/>
      <w:bookmarkEnd w:id="3"/>
      <w:r>
        <w:br w:type="page"/>
      </w:r>
    </w:p>
    <w:p>
      <w:pPr>
        <w:pStyle w:val="Heading1"/>
        <w:spacing w:before="0" w:after="240"/>
        <w:rPr/>
      </w:pPr>
      <w:bookmarkStart w:id="4" w:name="_Toc229476893"/>
      <w:bookmarkStart w:id="5" w:name="_Toc209515807"/>
      <w:r>
        <w:rPr/>
        <w:t>Введение</w:t>
      </w:r>
      <w:bookmarkEnd w:id="4"/>
      <w:bookmarkEnd w:id="5"/>
    </w:p>
    <w:p>
      <w:pPr>
        <w:pStyle w:val="Heading2"/>
        <w:rPr>
          <w:rStyle w:val="fontstyle01"/>
          <w:rFonts w:ascii="Times New Roman" w:hAnsi="Times New Roman"/>
          <w:color w:val="auto"/>
        </w:rPr>
      </w:pPr>
      <w:bookmarkStart w:id="6" w:name="_Toc209515808"/>
      <w:r>
        <w:rPr>
          <w:rStyle w:val="fontstyle01"/>
        </w:rPr>
        <w:t>Компрессорная станция (КС) является особо опасным производственным объектом, цель которого – создание давления газа на уровне, необходимом для обеспечения технологического процесса транспортировки природного газа</w:t>
      </w:r>
      <w:bookmarkEnd w:id="6"/>
      <w:r>
        <w:rPr>
          <w:rStyle w:val="fontstyle01"/>
        </w:rPr>
        <w:t>.</w:t>
      </w:r>
    </w:p>
    <w:p>
      <w:pPr>
        <w:pStyle w:val="Heading2"/>
        <w:rPr/>
      </w:pPr>
      <w:bookmarkStart w:id="7" w:name="_Toc209515809"/>
      <w:r>
        <w:rPr>
          <w:rStyle w:val="fontstyle01"/>
        </w:rPr>
        <w:t>Значительные запасы и добыча природного газа Российской Федерации расположены в северных и восточных районах, а потребление как внутренне, так и экспортное имеет очень широкую географию, что создает необходимость строительства магистральных газопроводов для транспортировки добываемого газа потребителям.</w:t>
      </w:r>
      <w:bookmarkEnd w:id="7"/>
    </w:p>
    <w:p>
      <w:pPr>
        <w:pStyle w:val="Heading2"/>
        <w:rPr/>
      </w:pPr>
      <w:bookmarkStart w:id="8" w:name="_Toc209515810"/>
      <w:r>
        <w:rPr/>
        <w:t>На территории КС располагается комплекс зданий и сооружений, обеспечивающих выполнение ее основной технологической задачи. Все здания и сооружения можно разбить на две большие зоны:</w:t>
      </w:r>
      <w:bookmarkEnd w:id="8"/>
    </w:p>
    <w:p>
      <w:pPr>
        <w:pStyle w:val="ListParagraph"/>
        <w:numPr>
          <w:ilvl w:val="0"/>
          <w:numId w:val="3"/>
        </w:numPr>
        <w:rPr/>
      </w:pPr>
      <w:r>
        <w:rPr/>
        <w:t>зона основного технологического оборудования (газоперекачивающие агрегаты, аппараты воздушного охлаждения газа, фильтры-сепараторы газа, технологические трубопроводы и т.д.) – обеспечение основного технологического процесса;</w:t>
      </w:r>
    </w:p>
    <w:p>
      <w:pPr>
        <w:pStyle w:val="ListParagraph"/>
        <w:numPr>
          <w:ilvl w:val="0"/>
          <w:numId w:val="3"/>
        </w:numPr>
        <w:rPr/>
      </w:pPr>
      <w:r>
        <w:rPr/>
        <w:t>зона вспомогательных зданий и сооружений (здание служебно-ремонтно-эксплуатационного блока (СРЭБ), здания складов, здания энергоблоков, контрольно-пропускной пункт, сооружения очистки воды на хозяйственно-бытовые нужды и сточных вод и т.д.) – обеспечение вспомогательных нужд КС, размещение персонала.</w:t>
      </w:r>
    </w:p>
    <w:p>
      <w:pPr>
        <w:pStyle w:val="Heading2"/>
        <w:rPr/>
      </w:pPr>
      <w:bookmarkStart w:id="9" w:name="_Toc209515811"/>
      <w:r>
        <w:rPr/>
        <w:t>Здание СРЭБ является самым многофункциональным производственным зданием на площадке. В нем располагаются операторы, контролирующие работу КС, инженерно-технический персонал, мастерские, энергетические установки, системы автоматизации, системы связи, складские помещения, венткамеры, узлы ввода коммуникаций.</w:t>
      </w:r>
      <w:bookmarkEnd w:id="9"/>
    </w:p>
    <w:p>
      <w:pPr>
        <w:pStyle w:val="Heading2"/>
        <w:rPr/>
      </w:pPr>
      <w:bookmarkStart w:id="10" w:name="_Toc209515812"/>
      <w:r>
        <w:rPr/>
        <w:t>Особое внимание при проектировании здания СРЭБ необходимо обратить на безопасность персонала, который в нем располагается. Опасные производственные объекты, такие как КС, проектируются с учетом вероятности возникновения технологических аварий, в том числе взрывов.</w:t>
      </w:r>
      <w:bookmarkEnd w:id="10"/>
    </w:p>
    <w:p>
      <w:pPr>
        <w:pStyle w:val="Heading2"/>
        <w:rPr/>
      </w:pPr>
      <w:bookmarkStart w:id="11" w:name="_Toc209515813"/>
      <w:r>
        <w:rPr/>
        <w:t>Необходимость оптимизации капитальных затрат на строительство диктует повышенные требования к компактности производственных зданий, что, свою очередь, приводит к высокой плотности расположения коммуникаций и оборудования. Решению этой задачи в значительной степени способствует применение современных методов проектирования, основанных на формировании цифровой информационной модели, позволяющей на ранних этапах проектирования избежать коллизий технических решений смежных специальностей.</w:t>
      </w:r>
      <w:bookmarkEnd w:id="11"/>
    </w:p>
    <w:p>
      <w:pPr>
        <w:pStyle w:val="Heading2"/>
        <w:rPr/>
      </w:pPr>
      <w:bookmarkStart w:id="12" w:name="_Toc209515814"/>
      <w:r>
        <w:rPr/>
        <w:t>Реализация объектов газовой промышленности является стратегической задачей для государства и всегда реализуется в условиях очень сжатых сроков и высоких требований к качеству проектной продукции. Обеспечить выполнение этих условий возможно только при грамотной организации процесса проектирования и соответствующего контроля качества, а также процессов взаимодействия между специалистами.</w:t>
      </w:r>
      <w:bookmarkEnd w:id="12"/>
    </w:p>
    <w:p>
      <w:pPr>
        <w:pStyle w:val="Heading1"/>
        <w:rPr/>
      </w:pPr>
      <w:bookmarkStart w:id="13" w:name="_Toc209515815"/>
      <w:r>
        <w:rPr/>
        <w:t xml:space="preserve"> </w:t>
      </w:r>
      <w:bookmarkStart w:id="14" w:name="_Toc229476894"/>
      <w:bookmarkStart w:id="15" w:name="_Ref210640869"/>
      <w:r>
        <w:rPr/>
        <w:t>Нормативные ссылки</w:t>
      </w:r>
      <w:bookmarkEnd w:id="13"/>
      <w:bookmarkEnd w:id="14"/>
      <w:bookmarkEnd w:id="15"/>
    </w:p>
    <w:p>
      <w:pPr>
        <w:pStyle w:val="Normal"/>
        <w:rPr/>
      </w:pPr>
      <w:r>
        <w:rPr/>
        <w:t>Настоящий документ разработан с учетом требований следующих нормативных документов:</w:t>
      </w:r>
    </w:p>
    <w:p>
      <w:pPr>
        <w:pStyle w:val="Normal"/>
        <w:rPr>
          <w:b/>
          <w:bCs/>
        </w:rPr>
      </w:pPr>
      <w:r>
        <w:rPr>
          <w:b/>
          <w:bCs/>
        </w:rPr>
        <w:t>Общие:</w:t>
      </w:r>
    </w:p>
    <w:p>
      <w:pPr>
        <w:pStyle w:val="Normal"/>
        <w:rPr/>
      </w:pPr>
      <w:r>
        <w:rPr/>
        <w:t>Постановление Правительства РФ от 16.02.2008 N 87 "О составе разделов проектной документации и требованиях к их содержанию".</w:t>
      </w:r>
    </w:p>
    <w:p>
      <w:pPr>
        <w:pStyle w:val="Normal"/>
        <w:rPr/>
      </w:pPr>
      <w:r>
        <w:rPr/>
        <w:t>Федеральный закон от 30.12.2009 №384-ФЗ «Технический регламент о безопасности зданий и сооружений».</w:t>
      </w:r>
    </w:p>
    <w:p>
      <w:pPr>
        <w:pStyle w:val="Normal"/>
        <w:rPr>
          <w:rFonts w:cs="Times New Roman"/>
          <w:iCs/>
          <w:szCs w:val="24"/>
        </w:rPr>
      </w:pPr>
      <w:r>
        <w:rPr>
          <w:rFonts w:cs="Times New Roman"/>
          <w:iCs/>
          <w:szCs w:val="24"/>
        </w:rPr>
        <w:t>ГОСТ Р 21.101-2026 Система проектной документации для строительства. Основные требования к проектной и рабочей документации.</w:t>
      </w:r>
    </w:p>
    <w:p>
      <w:pPr>
        <w:pStyle w:val="Normal"/>
        <w:rPr>
          <w:rFonts w:cs="Times New Roman"/>
          <w:iCs/>
          <w:szCs w:val="24"/>
        </w:rPr>
      </w:pPr>
      <w:r>
        <w:rPr>
          <w:rFonts w:cs="Times New Roman"/>
          <w:iCs/>
          <w:szCs w:val="24"/>
        </w:rPr>
        <w:t>ГОСТ 21.201-2011 Система проектной документации для строительства. Условные графические изображения элементов зданий, сооружений и конструкций.</w:t>
      </w:r>
    </w:p>
    <w:p>
      <w:pPr>
        <w:pStyle w:val="Normal"/>
        <w:rPr>
          <w:rFonts w:cs="Times New Roman"/>
          <w:iCs/>
          <w:szCs w:val="24"/>
        </w:rPr>
      </w:pPr>
      <w:r>
        <w:rPr>
          <w:rFonts w:cs="Times New Roman"/>
          <w:iCs/>
          <w:szCs w:val="24"/>
        </w:rPr>
        <w:t>ГОСТ 28984-2011 Модульная координация размеров в строительстве. Основные положения.</w:t>
      </w:r>
    </w:p>
    <w:p>
      <w:pPr>
        <w:pStyle w:val="Normal"/>
        <w:rPr>
          <w:b/>
          <w:bCs/>
        </w:rPr>
      </w:pPr>
      <w:r>
        <w:rPr>
          <w:b/>
          <w:bCs/>
        </w:rPr>
        <w:t>Архитектурные решения:</w:t>
      </w:r>
    </w:p>
    <w:p>
      <w:pPr>
        <w:pStyle w:val="Normal"/>
        <w:rPr/>
      </w:pPr>
      <w:r>
        <w:rPr/>
        <w:t>СП 1.13130.2020 Системы противопожарной защиты Эвакуационные пути и выходы</w:t>
      </w:r>
    </w:p>
    <w:p>
      <w:pPr>
        <w:pStyle w:val="Normal"/>
        <w:rPr/>
      </w:pPr>
      <w:r>
        <w:rPr/>
        <w:t xml:space="preserve">СП 2.13130.2020 Системы противопожарной защиты Обеспечение огнестойкости объектов защиты </w:t>
      </w:r>
    </w:p>
    <w:p>
      <w:pPr>
        <w:pStyle w:val="Normal"/>
        <w:rPr/>
      </w:pPr>
      <w:r>
        <w:rPr/>
        <w:t>СП 2.2.3670-20 Санитарно-эпидемиологические требования к условиям труда</w:t>
      </w:r>
    </w:p>
    <w:p>
      <w:pPr>
        <w:pStyle w:val="Normal"/>
        <w:rPr/>
      </w:pPr>
      <w:r>
        <w:rPr/>
        <w:t>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pPr>
        <w:pStyle w:val="Normal"/>
        <w:rPr>
          <w:rFonts w:cs="Times New Roman"/>
          <w:iCs/>
          <w:szCs w:val="24"/>
        </w:rPr>
      </w:pPr>
      <w:r>
        <w:rPr>
          <w:rFonts w:cs="Times New Roman"/>
          <w:iCs/>
          <w:szCs w:val="24"/>
        </w:rPr>
        <w:t>СП 12.13130.2009 Определение категорий помещений, зданий и наружных установок по взрывопожарной пожарной опасности</w:t>
      </w:r>
    </w:p>
    <w:p>
      <w:pPr>
        <w:pStyle w:val="Normal"/>
        <w:rPr>
          <w:rFonts w:cs="Times New Roman"/>
          <w:iCs/>
          <w:szCs w:val="24"/>
        </w:rPr>
      </w:pPr>
      <w:r>
        <w:rPr>
          <w:rFonts w:cs="Times New Roman"/>
          <w:iCs/>
          <w:szCs w:val="24"/>
        </w:rPr>
        <w:t>СП 44.13330.2011 (с изменением №1-4) СНиП 2.09.04-87 Актуализированная редакция. Административные и бытовые здания</w:t>
      </w:r>
    </w:p>
    <w:p>
      <w:pPr>
        <w:pStyle w:val="Normal"/>
        <w:rPr>
          <w:rFonts w:cs="Times New Roman"/>
          <w:iCs/>
          <w:szCs w:val="24"/>
        </w:rPr>
      </w:pPr>
      <w:r>
        <w:rPr>
          <w:rFonts w:cs="Times New Roman"/>
          <w:iCs/>
          <w:szCs w:val="24"/>
        </w:rPr>
        <w:t>СП 50.13330.2024 СНиП 23-02-2003 Актуализированная версия. Тепловая защита зданий</w:t>
      </w:r>
    </w:p>
    <w:p>
      <w:pPr>
        <w:pStyle w:val="Normal"/>
        <w:rPr>
          <w:rFonts w:cs="Times New Roman"/>
          <w:iCs/>
          <w:szCs w:val="24"/>
        </w:rPr>
      </w:pPr>
      <w:r>
        <w:rPr>
          <w:rFonts w:cs="Times New Roman"/>
          <w:iCs/>
          <w:szCs w:val="24"/>
        </w:rPr>
        <w:t>СП 52.13330.2016 СНиП 23-05-95* Актуализированная редакция. Естественное и искусственное освещение.</w:t>
      </w:r>
    </w:p>
    <w:p>
      <w:pPr>
        <w:pStyle w:val="Normal"/>
        <w:rPr>
          <w:rFonts w:cs="Times New Roman"/>
          <w:iCs/>
          <w:szCs w:val="24"/>
        </w:rPr>
      </w:pPr>
      <w:r>
        <w:rPr>
          <w:rFonts w:cs="Times New Roman"/>
          <w:iCs/>
          <w:szCs w:val="24"/>
        </w:rPr>
        <w:t>СП 56.13330.2021 СНиП 31-03-2001 Актуализированная редакция. Производственные здания</w:t>
      </w:r>
    </w:p>
    <w:p>
      <w:pPr>
        <w:pStyle w:val="Normal"/>
        <w:rPr>
          <w:rFonts w:cs="Times New Roman"/>
          <w:iCs/>
          <w:szCs w:val="24"/>
        </w:rPr>
      </w:pPr>
      <w:r>
        <w:rPr>
          <w:rFonts w:cs="Times New Roman"/>
          <w:iCs/>
          <w:szCs w:val="24"/>
        </w:rPr>
        <w:t xml:space="preserve">СП 131.13330.2025 Актуализированная редакция СНиП 23-01-99 Строительная климатология </w:t>
      </w:r>
    </w:p>
    <w:p>
      <w:pPr>
        <w:pStyle w:val="Normal"/>
        <w:rPr>
          <w:rFonts w:cs="Times New Roman"/>
          <w:iCs/>
          <w:szCs w:val="24"/>
        </w:rPr>
      </w:pPr>
      <w:r>
        <w:rPr>
          <w:rFonts w:cs="Times New Roman"/>
          <w:iCs/>
          <w:szCs w:val="24"/>
        </w:rPr>
        <w:t>СП 118.13330.2022 Актуализированная редакция СНиП 31-06-2009 Общественные здания и сооружения.</w:t>
      </w:r>
    </w:p>
    <w:p>
      <w:pPr>
        <w:pStyle w:val="Normal"/>
        <w:rPr>
          <w:rFonts w:cs="Times New Roman"/>
          <w:b/>
          <w:bCs/>
          <w:iCs/>
          <w:szCs w:val="24"/>
        </w:rPr>
      </w:pPr>
      <w:r>
        <w:rPr>
          <w:rFonts w:cs="Times New Roman"/>
          <w:b/>
          <w:bCs/>
          <w:iCs/>
          <w:szCs w:val="24"/>
        </w:rPr>
        <w:t>Конструктивные решения:</w:t>
      </w:r>
    </w:p>
    <w:p>
      <w:pPr>
        <w:pStyle w:val="Normal"/>
        <w:rPr>
          <w:rFonts w:cs="Times New Roman"/>
          <w:bCs/>
          <w:iCs/>
          <w:szCs w:val="24"/>
        </w:rPr>
      </w:pPr>
      <w:r>
        <w:rPr>
          <w:rFonts w:cs="Times New Roman"/>
          <w:bCs/>
          <w:iCs/>
          <w:szCs w:val="24"/>
        </w:rPr>
        <w:t>ГОСТ</w:t>
      </w:r>
      <w:r>
        <w:rPr>
          <w:rFonts w:cs="Times New Roman"/>
          <w:bCs/>
          <w:iCs/>
          <w:szCs w:val="24"/>
          <w:lang w:val="en-US"/>
        </w:rPr>
        <w:t> </w:t>
      </w:r>
      <w:r>
        <w:rPr>
          <w:rFonts w:cs="Times New Roman"/>
          <w:bCs/>
          <w:iCs/>
          <w:szCs w:val="24"/>
        </w:rPr>
        <w:t>27751-2014 «Надежность строительных конструкций и оснований. Основные положения»;</w:t>
      </w:r>
    </w:p>
    <w:p>
      <w:pPr>
        <w:pStyle w:val="Normal"/>
        <w:rPr>
          <w:rFonts w:cs="Times New Roman"/>
          <w:bCs/>
          <w:iCs/>
          <w:szCs w:val="24"/>
        </w:rPr>
      </w:pPr>
      <w:r>
        <w:rPr>
          <w:rFonts w:cs="Times New Roman"/>
          <w:bCs/>
          <w:iCs/>
          <w:szCs w:val="24"/>
        </w:rPr>
        <w:t>СП 20.13330.2016 «Нагрузки и воздействия»;</w:t>
      </w:r>
    </w:p>
    <w:p>
      <w:pPr>
        <w:pStyle w:val="Normal"/>
        <w:rPr>
          <w:rFonts w:cs="Times New Roman"/>
          <w:bCs/>
          <w:iCs/>
          <w:szCs w:val="24"/>
        </w:rPr>
      </w:pPr>
      <w:r>
        <w:rPr>
          <w:rFonts w:cs="Times New Roman"/>
          <w:bCs/>
          <w:iCs/>
          <w:szCs w:val="24"/>
        </w:rPr>
        <w:t>СП 16.13330.2017 «Стальные конструкции»;</w:t>
      </w:r>
    </w:p>
    <w:p>
      <w:pPr>
        <w:pStyle w:val="Normal"/>
        <w:rPr>
          <w:rFonts w:cs="Times New Roman"/>
          <w:bCs/>
          <w:iCs/>
          <w:szCs w:val="24"/>
        </w:rPr>
      </w:pPr>
      <w:r>
        <w:rPr>
          <w:rFonts w:cs="Times New Roman"/>
          <w:bCs/>
          <w:iCs/>
          <w:szCs w:val="24"/>
        </w:rPr>
        <w:t>СП 24.13330.2016 «Свайные фундаменты»;</w:t>
      </w:r>
    </w:p>
    <w:p>
      <w:pPr>
        <w:pStyle w:val="Normal"/>
        <w:rPr>
          <w:rFonts w:cs="Times New Roman"/>
          <w:bCs/>
          <w:iCs/>
          <w:szCs w:val="24"/>
        </w:rPr>
      </w:pPr>
      <w:r>
        <w:rPr>
          <w:rFonts w:cs="Times New Roman"/>
          <w:bCs/>
          <w:iCs/>
          <w:szCs w:val="24"/>
        </w:rPr>
        <w:t>СП 385.1325800.2018 «Защита зданий и сооружений от прогрессирующего обрушения. Правила проектирования. Основные положения»;</w:t>
      </w:r>
    </w:p>
    <w:p>
      <w:pPr>
        <w:pStyle w:val="Normal"/>
        <w:rPr>
          <w:rFonts w:cs="Times New Roman"/>
          <w:bCs/>
          <w:iCs/>
          <w:szCs w:val="24"/>
        </w:rPr>
      </w:pPr>
      <w:r>
        <w:rPr>
          <w:rFonts w:cs="Times New Roman"/>
          <w:bCs/>
          <w:iCs/>
          <w:szCs w:val="24"/>
        </w:rPr>
        <w:t>СП 296.1325800.2017 «Здания и сооружения. Особые воздействия».</w:t>
      </w:r>
    </w:p>
    <w:p>
      <w:pPr>
        <w:pStyle w:val="Normal"/>
        <w:rPr>
          <w:rFonts w:cs="Times New Roman"/>
          <w:b/>
          <w:bCs/>
          <w:iCs/>
          <w:szCs w:val="24"/>
        </w:rPr>
      </w:pPr>
      <w:r>
        <w:rPr>
          <w:rFonts w:cs="Times New Roman"/>
          <w:b/>
          <w:bCs/>
          <w:iCs/>
          <w:szCs w:val="24"/>
        </w:rPr>
        <w:t>Водоснабжение и водоотведение:</w:t>
      </w:r>
    </w:p>
    <w:p>
      <w:pPr>
        <w:pStyle w:val="Normal"/>
        <w:rPr>
          <w:rFonts w:cs="Times New Roman"/>
          <w:iCs/>
          <w:szCs w:val="24"/>
        </w:rPr>
      </w:pPr>
      <w:r>
        <w:rPr>
          <w:rFonts w:cs="Times New Roman"/>
          <w:iCs/>
          <w:szCs w:val="24"/>
        </w:rPr>
        <w:t>СанПиН 1.2.3685-21 «Гигиенические нормативы и требования к обеспечению безопасности и безвредности для человека факторов среды обитания»,</w:t>
      </w:r>
    </w:p>
    <w:p>
      <w:pPr>
        <w:pStyle w:val="Normal"/>
        <w:rPr>
          <w:rFonts w:cs="Times New Roman"/>
          <w:iCs/>
          <w:szCs w:val="24"/>
        </w:rPr>
      </w:pPr>
      <w:r>
        <w:rPr>
          <w:rFonts w:cs="Times New Roman"/>
          <w:iCs/>
          <w:szCs w:val="24"/>
        </w:rPr>
        <w:t>СП 8.13130.2020 «Системы противопожарной защиты. Наружное противопожарное водоснабжение. Требования пожарной безопасности»,</w:t>
      </w:r>
    </w:p>
    <w:p>
      <w:pPr>
        <w:pStyle w:val="Normal"/>
        <w:rPr>
          <w:rFonts w:cs="Times New Roman"/>
          <w:iCs/>
          <w:szCs w:val="24"/>
        </w:rPr>
      </w:pPr>
      <w:r>
        <w:rPr>
          <w:rFonts w:cs="Times New Roman"/>
          <w:iCs/>
          <w:szCs w:val="24"/>
        </w:rPr>
        <w:t>СП 10.13130.2020 «Системы противопожарной защиты. Внутренний противопожарный водопровод. Нормы и правила проектирования»,</w:t>
      </w:r>
    </w:p>
    <w:p>
      <w:pPr>
        <w:pStyle w:val="Normal"/>
        <w:rPr>
          <w:rFonts w:cs="Times New Roman"/>
          <w:iCs/>
          <w:szCs w:val="24"/>
        </w:rPr>
      </w:pPr>
      <w:r>
        <w:rPr>
          <w:rFonts w:cs="Times New Roman"/>
          <w:iCs/>
          <w:szCs w:val="24"/>
        </w:rPr>
        <w:t>СП 131.13330.2025 «Строительная климатология»,</w:t>
      </w:r>
    </w:p>
    <w:p>
      <w:pPr>
        <w:pStyle w:val="Normal"/>
        <w:rPr>
          <w:rFonts w:cs="Times New Roman"/>
          <w:iCs/>
          <w:szCs w:val="24"/>
        </w:rPr>
      </w:pPr>
      <w:r>
        <w:rPr>
          <w:rFonts w:cs="Times New Roman"/>
          <w:iCs/>
          <w:szCs w:val="24"/>
        </w:rPr>
        <w:t>СП 30.13330.2020 «Внутренний водопровод и канализация зданий»,</w:t>
      </w:r>
    </w:p>
    <w:p>
      <w:pPr>
        <w:pStyle w:val="Normal"/>
        <w:rPr>
          <w:rFonts w:cs="Times New Roman"/>
          <w:iCs/>
          <w:szCs w:val="24"/>
        </w:rPr>
      </w:pPr>
      <w:r>
        <w:rPr>
          <w:rFonts w:cs="Times New Roman"/>
          <w:iCs/>
          <w:szCs w:val="24"/>
        </w:rPr>
        <w:t>СП 73.13330.2016 «Внутренние санитарно-технические системы здания»,</w:t>
      </w:r>
    </w:p>
    <w:p>
      <w:pPr>
        <w:pStyle w:val="Normal"/>
        <w:rPr>
          <w:rFonts w:cs="Times New Roman"/>
          <w:iCs/>
          <w:szCs w:val="24"/>
        </w:rPr>
      </w:pPr>
      <w:r>
        <w:rPr>
          <w:rFonts w:cs="Times New Roman"/>
          <w:iCs/>
          <w:szCs w:val="24"/>
        </w:rPr>
        <w:t>СП 40-102-2000 «Проектирование и монтаж трубопроводов систем водоснабжения и канализации из полимерных материалов».</w:t>
      </w:r>
    </w:p>
    <w:p>
      <w:pPr>
        <w:pStyle w:val="Normal"/>
        <w:rPr>
          <w:rFonts w:cs="Times New Roman"/>
          <w:b/>
          <w:bCs/>
          <w:iCs/>
          <w:szCs w:val="24"/>
        </w:rPr>
      </w:pPr>
      <w:r>
        <w:rPr>
          <w:rFonts w:cs="Times New Roman"/>
          <w:b/>
          <w:bCs/>
          <w:iCs/>
          <w:szCs w:val="24"/>
        </w:rPr>
        <w:t>Отопление и вентиляция:</w:t>
      </w:r>
    </w:p>
    <w:p>
      <w:pPr>
        <w:pStyle w:val="Normal"/>
        <w:rPr>
          <w:rFonts w:cs="Times New Roman"/>
          <w:iCs/>
          <w:szCs w:val="24"/>
        </w:rPr>
      </w:pPr>
      <w:r>
        <w:rPr>
          <w:rFonts w:cs="Times New Roman"/>
          <w:iCs/>
          <w:szCs w:val="24"/>
        </w:rPr>
        <w:t xml:space="preserve">СП 131.13330.2025 «Строительная климатология»; </w:t>
      </w:r>
    </w:p>
    <w:p>
      <w:pPr>
        <w:pStyle w:val="Normal"/>
        <w:rPr>
          <w:rFonts w:cs="Times New Roman"/>
          <w:iCs/>
          <w:szCs w:val="24"/>
        </w:rPr>
      </w:pPr>
      <w:r>
        <w:rPr>
          <w:rFonts w:cs="Times New Roman"/>
          <w:iCs/>
          <w:szCs w:val="24"/>
        </w:rPr>
        <w:t>СП 50.13330.2024 «Тепловая защита зданий»;</w:t>
      </w:r>
    </w:p>
    <w:p>
      <w:pPr>
        <w:pStyle w:val="Normal"/>
        <w:rPr>
          <w:rFonts w:cs="Times New Roman"/>
          <w:iCs/>
          <w:szCs w:val="24"/>
        </w:rPr>
      </w:pPr>
      <w:r>
        <w:rPr>
          <w:rFonts w:cs="Times New Roman"/>
          <w:iCs/>
          <w:szCs w:val="24"/>
        </w:rPr>
        <w:t>СП 60.13330.2020 «Отопление, вентиляция и кондиционирование воздуха»;</w:t>
      </w:r>
    </w:p>
    <w:p>
      <w:pPr>
        <w:pStyle w:val="Normal"/>
        <w:rPr>
          <w:rFonts w:cs="Times New Roman"/>
          <w:iCs/>
          <w:szCs w:val="24"/>
        </w:rPr>
      </w:pPr>
      <w:r>
        <w:rPr>
          <w:rFonts w:cs="Times New Roman"/>
          <w:iCs/>
          <w:szCs w:val="24"/>
        </w:rPr>
        <w:t>СП 7.13130.2013 «Отопление, вентиляция и кондиционирование. Требования пожарной безопасности (с изменениями №1, №2, №3)»;</w:t>
      </w:r>
    </w:p>
    <w:p>
      <w:pPr>
        <w:pStyle w:val="Normal"/>
        <w:rPr>
          <w:rFonts w:cs="Times New Roman"/>
          <w:iCs/>
          <w:szCs w:val="24"/>
        </w:rPr>
      </w:pPr>
      <w:r>
        <w:rPr>
          <w:rFonts w:cs="Times New Roman"/>
          <w:iCs/>
          <w:szCs w:val="24"/>
        </w:rPr>
        <w:t>СП 44.13330.2011 Административные и бытовые здания. (с изменениями № 1, № 2, №3, №4);</w:t>
      </w:r>
    </w:p>
    <w:p>
      <w:pPr>
        <w:pStyle w:val="Normal"/>
        <w:rPr>
          <w:rFonts w:cs="Times New Roman"/>
          <w:iCs/>
          <w:szCs w:val="24"/>
        </w:rPr>
      </w:pPr>
      <w:r>
        <w:rPr>
          <w:rFonts w:cs="Times New Roman"/>
          <w:iCs/>
          <w:szCs w:val="24"/>
        </w:rPr>
        <w:t>СП 51.13330.2011 Защита от шума. (с изменениями № 1, №2, №3, №4);</w:t>
      </w:r>
    </w:p>
    <w:p>
      <w:pPr>
        <w:pStyle w:val="Normal"/>
        <w:rPr>
          <w:rFonts w:cs="Times New Roman"/>
          <w:iCs/>
          <w:szCs w:val="24"/>
        </w:rPr>
      </w:pPr>
      <w:r>
        <w:rPr>
          <w:rFonts w:cs="Times New Roman"/>
          <w:iCs/>
          <w:szCs w:val="24"/>
        </w:rPr>
        <w:t xml:space="preserve">СП 56.13330.2021 Производственные здания (с изменениями № 1, №2, №3); </w:t>
      </w:r>
    </w:p>
    <w:p>
      <w:pPr>
        <w:pStyle w:val="Normal"/>
        <w:rPr>
          <w:rFonts w:cs="Times New Roman"/>
          <w:iCs/>
          <w:szCs w:val="24"/>
        </w:rPr>
      </w:pPr>
      <w:r>
        <w:rPr>
          <w:rFonts w:cs="Times New Roman"/>
          <w:iCs/>
          <w:szCs w:val="24"/>
        </w:rPr>
        <w:t xml:space="preserve">СП 23-101-2004 Проектирование тепловой защиты зданий; </w:t>
      </w:r>
    </w:p>
    <w:p>
      <w:pPr>
        <w:pStyle w:val="Normal"/>
        <w:rPr>
          <w:rFonts w:cs="Times New Roman"/>
          <w:iCs/>
          <w:szCs w:val="24"/>
        </w:rPr>
      </w:pPr>
      <w:r>
        <w:rPr>
          <w:rFonts w:cs="Times New Roman"/>
          <w:iCs/>
          <w:szCs w:val="24"/>
        </w:rPr>
        <w:t>ПУЭ «Правила устройства электроустановок» издание 6; издание 7;</w:t>
      </w:r>
    </w:p>
    <w:p>
      <w:pPr>
        <w:pStyle w:val="Normal"/>
        <w:rPr>
          <w:rFonts w:cs="Times New Roman"/>
          <w:iCs/>
          <w:szCs w:val="24"/>
        </w:rPr>
      </w:pPr>
      <w:r>
        <w:rPr>
          <w:rFonts w:cs="Times New Roman"/>
          <w:iCs/>
          <w:szCs w:val="24"/>
        </w:rPr>
        <w:t>Постановление от 28 января 2021 года №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 противоэпидемических (профилактических) мероприятий"»</w:t>
      </w:r>
    </w:p>
    <w:p>
      <w:pPr>
        <w:pStyle w:val="Normal"/>
        <w:rPr>
          <w:rFonts w:cs="Times New Roman"/>
          <w:iCs/>
          <w:szCs w:val="24"/>
        </w:rPr>
      </w:pPr>
      <w:r>
        <w:rPr>
          <w:rFonts w:cs="Times New Roman"/>
          <w:iCs/>
          <w:szCs w:val="24"/>
        </w:rPr>
        <w:t xml:space="preserve">ГОСТ 12.1.005-88 Система стандартов безопасности труда. Общие санитарно-гигиенические требования к воздуху рабочей зоны (с изменениями № 1); </w:t>
      </w:r>
    </w:p>
    <w:p>
      <w:pPr>
        <w:pStyle w:val="Normal"/>
        <w:rPr>
          <w:rFonts w:cs="Times New Roman"/>
          <w:iCs/>
          <w:szCs w:val="24"/>
        </w:rPr>
      </w:pPr>
      <w:r>
        <w:rPr>
          <w:rFonts w:cs="Times New Roman"/>
          <w:iCs/>
          <w:szCs w:val="24"/>
        </w:rPr>
        <w:t>Расчетное определение основных параметров противодымной вентиляции зданий. Методические рекомендации к СП 7.13130.2013</w:t>
      </w:r>
    </w:p>
    <w:p>
      <w:pPr>
        <w:pStyle w:val="Normal"/>
        <w:rPr>
          <w:rFonts w:cs="Times New Roman"/>
          <w:b/>
          <w:iCs/>
          <w:szCs w:val="24"/>
        </w:rPr>
      </w:pPr>
      <w:r>
        <w:rPr>
          <w:rFonts w:cs="Times New Roman"/>
          <w:b/>
          <w:iCs/>
          <w:szCs w:val="24"/>
        </w:rPr>
        <w:t>Технологические решения:</w:t>
      </w:r>
    </w:p>
    <w:p>
      <w:pPr>
        <w:pStyle w:val="Normal"/>
        <w:rPr>
          <w:rFonts w:cs="Times New Roman"/>
          <w:iCs/>
          <w:szCs w:val="24"/>
        </w:rPr>
      </w:pPr>
      <w:r>
        <w:rPr>
          <w:rFonts w:cs="Times New Roman"/>
          <w:iCs/>
          <w:szCs w:val="24"/>
        </w:rPr>
        <w:t>Федеральный закон от 22 июля 2008г. №123-Ф3 «Технический регламент о требованиях пожарной безопасности»;</w:t>
      </w:r>
    </w:p>
    <w:p>
      <w:pPr>
        <w:pStyle w:val="Normal"/>
        <w:rPr>
          <w:rFonts w:cs="Times New Roman"/>
          <w:iCs/>
          <w:szCs w:val="24"/>
        </w:rPr>
      </w:pPr>
      <w:r>
        <w:rPr>
          <w:rFonts w:cs="Times New Roman"/>
          <w:iCs/>
          <w:szCs w:val="24"/>
        </w:rPr>
        <w:t>Федеральный закон от 16.02.2008 г. № 87-ФЗ «Положение о составе разделов проектной документации и требованиях к их содержанию»;</w:t>
      </w:r>
    </w:p>
    <w:p>
      <w:pPr>
        <w:pStyle w:val="Normal"/>
        <w:rPr>
          <w:rFonts w:cs="Times New Roman"/>
          <w:iCs/>
          <w:szCs w:val="24"/>
        </w:rPr>
      </w:pPr>
      <w:r>
        <w:rPr>
          <w:rFonts w:cs="Times New Roman"/>
          <w:iCs/>
          <w:szCs w:val="24"/>
        </w:rPr>
        <w:t>Федеральный закон Российской Федерации от 30 декабря 2009г. № 384-ФЗ «Технический регламент о безопасности зданий и сооружений»;</w:t>
      </w:r>
    </w:p>
    <w:p>
      <w:pPr>
        <w:pStyle w:val="Normal"/>
        <w:rPr>
          <w:rFonts w:cs="Times New Roman"/>
          <w:iCs/>
          <w:szCs w:val="24"/>
        </w:rPr>
      </w:pPr>
      <w:r>
        <w:rPr>
          <w:rFonts w:cs="Times New Roman"/>
          <w:iCs/>
          <w:szCs w:val="24"/>
        </w:rPr>
        <w:t>Технический регламент Таможенного союза 010/2011 «О безопасности машин и оборудования»;</w:t>
      </w:r>
    </w:p>
    <w:p>
      <w:pPr>
        <w:pStyle w:val="Normal"/>
        <w:rPr>
          <w:rFonts w:cs="Times New Roman"/>
          <w:iCs/>
          <w:szCs w:val="24"/>
        </w:rPr>
      </w:pPr>
      <w:r>
        <w:rPr>
          <w:rFonts w:cs="Times New Roman"/>
          <w:iCs/>
          <w:szCs w:val="24"/>
        </w:rPr>
        <w:t>СП 2.2.3670-20 «Санитарно-эпидемиологические требования к условиям труда»;</w:t>
      </w:r>
    </w:p>
    <w:p>
      <w:pPr>
        <w:pStyle w:val="Normal"/>
        <w:rPr>
          <w:rFonts w:cs="Times New Roman"/>
          <w:iCs/>
          <w:szCs w:val="24"/>
        </w:rPr>
      </w:pPr>
      <w:r>
        <w:rPr>
          <w:rFonts w:cs="Times New Roman"/>
          <w:iCs/>
          <w:szCs w:val="24"/>
        </w:rPr>
        <w:t>СП 12.13130.2009 «Определение категорий помещений, зданий и наружных установок по взрывопожарной и пожарной опасности»;</w:t>
      </w:r>
    </w:p>
    <w:p>
      <w:pPr>
        <w:pStyle w:val="Normal"/>
        <w:rPr>
          <w:rFonts w:cs="Times New Roman"/>
          <w:iCs/>
          <w:szCs w:val="24"/>
        </w:rPr>
      </w:pPr>
      <w:r>
        <w:rPr>
          <w:rFonts w:cs="Times New Roman"/>
          <w:iCs/>
          <w:szCs w:val="24"/>
        </w:rPr>
        <w:t>Пособие по применению СП 12.13130.2009 «Определение категорий помещений, зданий и наружных установок по взрывопожарной и пожарной опасности»;</w:t>
      </w:r>
    </w:p>
    <w:p>
      <w:pPr>
        <w:pStyle w:val="Normal"/>
        <w:rPr>
          <w:rFonts w:cs="Times New Roman"/>
          <w:iCs/>
          <w:szCs w:val="24"/>
        </w:rPr>
      </w:pPr>
      <w:r>
        <w:rPr>
          <w:rFonts w:cs="Times New Roman"/>
          <w:iCs/>
          <w:szCs w:val="24"/>
        </w:rPr>
        <w:t>СП 56.13330.2021. Свод правил. Производственные здания. СНиП 31-03-2001</w:t>
      </w:r>
    </w:p>
    <w:p>
      <w:pPr>
        <w:pStyle w:val="Normal"/>
        <w:rPr>
          <w:rFonts w:cs="Times New Roman"/>
          <w:iCs/>
          <w:szCs w:val="24"/>
        </w:rPr>
      </w:pPr>
      <w:r>
        <w:rPr>
          <w:rFonts w:cs="Times New Roman"/>
          <w:iCs/>
          <w:szCs w:val="24"/>
        </w:rPr>
        <w:t>ПУЭ «Правила устройства электроустановок».</w:t>
      </w:r>
    </w:p>
    <w:p>
      <w:pPr>
        <w:pStyle w:val="Normal"/>
        <w:rPr>
          <w:rFonts w:cs="Times New Roman"/>
          <w:iCs/>
          <w:szCs w:val="24"/>
        </w:rPr>
      </w:pPr>
      <w:r>
        <w:rPr>
          <w:rFonts w:cs="Times New Roman"/>
          <w:iCs/>
          <w:szCs w:val="24"/>
        </w:rPr>
        <w:t>ГОСТ 12.3.009-76 «Работы погрузочно-разгрузочные»;</w:t>
      </w:r>
    </w:p>
    <w:p>
      <w:pPr>
        <w:pStyle w:val="Normal"/>
        <w:rPr>
          <w:rFonts w:cs="Times New Roman"/>
          <w:iCs/>
          <w:szCs w:val="24"/>
        </w:rPr>
      </w:pPr>
      <w:r>
        <w:rPr>
          <w:rFonts w:cs="Times New Roman"/>
          <w:iCs/>
          <w:szCs w:val="24"/>
        </w:rPr>
        <w:t>ГОСТ 12.3.020-80 «Процессы перемещения грузов на предприятиях»;</w:t>
      </w:r>
    </w:p>
    <w:p>
      <w:pPr>
        <w:pStyle w:val="Normal"/>
        <w:rPr>
          <w:rFonts w:cs="Times New Roman"/>
          <w:iCs/>
          <w:szCs w:val="24"/>
        </w:rPr>
      </w:pPr>
      <w:r>
        <w:rPr>
          <w:rFonts w:cs="Times New Roman"/>
          <w:iCs/>
          <w:szCs w:val="24"/>
        </w:rPr>
        <w:t xml:space="preserve"> </w:t>
      </w:r>
      <w:r>
        <w:rPr>
          <w:rFonts w:cs="Times New Roman"/>
          <w:iCs/>
          <w:szCs w:val="24"/>
        </w:rPr>
        <w:t>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pPr>
        <w:pStyle w:val="Normal"/>
        <w:rPr>
          <w:rFonts w:cs="Times New Roman"/>
          <w:iCs/>
          <w:szCs w:val="24"/>
        </w:rPr>
      </w:pPr>
      <w:r>
        <w:rPr>
          <w:rFonts w:cs="Times New Roman"/>
          <w:iCs/>
          <w:szCs w:val="24"/>
        </w:rPr>
        <w:t>ГОСТ 34017-2016 «Краны грузоподъемные. Классификация режимов работ»;</w:t>
      </w:r>
    </w:p>
    <w:p>
      <w:pPr>
        <w:pStyle w:val="Normal"/>
        <w:rPr>
          <w:rFonts w:cs="Times New Roman"/>
          <w:iCs/>
          <w:szCs w:val="24"/>
        </w:rPr>
      </w:pPr>
      <w:r>
        <w:rPr>
          <w:rFonts w:cs="Times New Roman"/>
          <w:iCs/>
          <w:szCs w:val="24"/>
        </w:rPr>
        <w:t>ОНТП 09-93 «Нормы технологического проектирования предприятий машиностроения, приборостроения и металлообработки. Ремонтно-механические цехи»;</w:t>
      </w:r>
    </w:p>
    <w:p>
      <w:pPr>
        <w:pStyle w:val="Normal"/>
        <w:rPr>
          <w:rFonts w:cs="Times New Roman"/>
          <w:iCs/>
          <w:szCs w:val="24"/>
        </w:rPr>
      </w:pPr>
      <w:r>
        <w:rPr>
          <w:rFonts w:cs="Times New Roman"/>
          <w:iCs/>
          <w:szCs w:val="24"/>
        </w:rPr>
        <w:t>ОНТП 14-93 «Нормы технологического проектирования предприятий машиностроения, приборостроения и металлообработки. Механообрабатывающие и сборочные цехи»;</w:t>
      </w:r>
    </w:p>
    <w:p>
      <w:pPr>
        <w:pStyle w:val="Normal"/>
        <w:rPr>
          <w:rFonts w:cs="Times New Roman"/>
          <w:iCs/>
          <w:szCs w:val="24"/>
        </w:rPr>
      </w:pPr>
      <w:r>
        <w:rPr>
          <w:rFonts w:cs="Times New Roman"/>
          <w:iCs/>
          <w:szCs w:val="24"/>
        </w:rPr>
        <w:t>СТО ГАЗПРОМ 2-1.1-321-2009 «Перечень помещений, зданий и наружных установок с категориями по взрывопожарной и пожарной опасности для объектов транспортировки газа ОАО «ГАЗПРОМ»;</w:t>
      </w:r>
    </w:p>
    <w:p>
      <w:pPr>
        <w:pStyle w:val="Normal"/>
        <w:rPr>
          <w:rFonts w:cs="Times New Roman"/>
          <w:iCs/>
          <w:szCs w:val="24"/>
          <w:lang w:val="x-none"/>
        </w:rPr>
      </w:pPr>
      <w:r>
        <w:rPr>
          <w:rFonts w:cs="Times New Roman"/>
          <w:iCs/>
          <w:szCs w:val="24"/>
          <w:lang w:val="x-none"/>
        </w:rPr>
      </w:r>
    </w:p>
    <w:p>
      <w:pPr>
        <w:pStyle w:val="Normal"/>
        <w:rPr>
          <w:rFonts w:cs="Times New Roman"/>
          <w:b/>
          <w:bCs/>
          <w:iCs/>
          <w:szCs w:val="24"/>
        </w:rPr>
      </w:pPr>
      <w:r>
        <w:rPr>
          <w:rFonts w:cs="Times New Roman"/>
          <w:b/>
          <w:bCs/>
          <w:iCs/>
          <w:szCs w:val="24"/>
        </w:rPr>
        <w:t>ЦИМ:</w:t>
      </w:r>
    </w:p>
    <w:p>
      <w:pPr>
        <w:pStyle w:val="Normal"/>
        <w:rPr>
          <w:rFonts w:cs="Times New Roman"/>
          <w:iCs/>
          <w:szCs w:val="24"/>
        </w:rPr>
      </w:pPr>
      <w:r>
        <w:rPr>
          <w:rFonts w:cs="Times New Roman"/>
          <w:iCs/>
          <w:szCs w:val="24"/>
        </w:rPr>
        <w:t>СП 333.1325800.2020 «Информационное моделирование в строительстве. Правила формирования информационной модели объектов на различных стадиях жизненного цикла».</w:t>
      </w:r>
    </w:p>
    <w:p>
      <w:pPr>
        <w:pStyle w:val="Normal"/>
        <w:rPr/>
      </w:pPr>
      <w:r>
        <w:rPr/>
        <w:t>[ПП.ПР] Р.13-2024 Выполнение проектов методом прямого 3</w:t>
      </w:r>
      <w:r>
        <w:rPr>
          <w:lang w:val="en-US"/>
        </w:rPr>
        <w:t>D</w:t>
      </w:r>
      <w:r>
        <w:rPr/>
        <w:t>-проектирования. Регламент.</w:t>
      </w:r>
    </w:p>
    <w:p>
      <w:pPr>
        <w:pStyle w:val="Normal"/>
        <w:rPr/>
      </w:pPr>
      <w:r>
        <w:rPr/>
        <w:t>[ПП] И.82-2024 Элементно-параметрический состав цифровых информационных моделей объектов капитального строительства. Инструкция.</w:t>
      </w:r>
    </w:p>
    <w:p>
      <w:pPr>
        <w:pStyle w:val="Normal"/>
        <w:rPr/>
      </w:pPr>
      <w:r>
        <w:rPr/>
        <w:t>[ПП] И.86-2024 Работа с коллизиями в цифровых информационных моделях. Инструкция.</w:t>
      </w:r>
    </w:p>
    <w:p>
      <w:pPr>
        <w:pStyle w:val="Heading1"/>
        <w:rPr/>
      </w:pPr>
      <w:bookmarkStart w:id="16" w:name="_Toc229476895"/>
      <w:bookmarkStart w:id="17" w:name="_Toc209515816"/>
      <w:r>
        <w:rPr/>
        <w:t>Термины, определения и сокращения</w:t>
      </w:r>
      <w:bookmarkEnd w:id="16"/>
      <w:bookmarkEnd w:id="17"/>
    </w:p>
    <w:p>
      <w:pPr>
        <w:pStyle w:val="Heading2"/>
        <w:rPr/>
      </w:pPr>
      <w:bookmarkStart w:id="18" w:name="_Toc209515817"/>
      <w:r>
        <w:rPr/>
        <w:t>В настоящем документе использованы следующие термины и определения:</w:t>
      </w:r>
      <w:bookmarkEnd w:id="18"/>
    </w:p>
    <w:p>
      <w:pPr>
        <w:pStyle w:val="Normal"/>
        <w:spacing w:lineRule="auto" w:line="240" w:before="120" w:after="120"/>
        <w:rPr>
          <w:rFonts w:cs="Times New Roman"/>
          <w:iCs/>
          <w:szCs w:val="24"/>
        </w:rPr>
      </w:pPr>
      <w:r>
        <w:rPr>
          <w:rFonts w:cs="Times New Roman"/>
          <w:b/>
          <w:iCs/>
          <w:szCs w:val="24"/>
        </w:rPr>
        <w:t>Общество</w:t>
      </w:r>
      <w:r>
        <w:rPr>
          <w:rFonts w:cs="Times New Roman"/>
          <w:iCs/>
          <w:szCs w:val="24"/>
        </w:rPr>
        <w:t xml:space="preserve"> – ООО «Газпром проектирование»;</w:t>
      </w:r>
    </w:p>
    <w:p>
      <w:pPr>
        <w:pStyle w:val="Normal"/>
        <w:rPr/>
      </w:pPr>
      <w:r>
        <w:rPr>
          <w:b/>
        </w:rPr>
        <w:t>Цифровая информационная модель объекта капитального строительства</w:t>
      </w:r>
      <w:r>
        <w:rPr/>
        <w:t xml:space="preserve"> – совокупность взаимосвязанных инженерно-технических и инженерно-технологических данных об объекте капитального строительства, представленных в цифровом трехмерном объектно-пространственном виде.</w:t>
      </w:r>
    </w:p>
    <w:p>
      <w:pPr>
        <w:pStyle w:val="Normal"/>
        <w:rPr/>
      </w:pPr>
      <w:r>
        <w:rPr/>
        <w:t>Элементы ЦИМ ОКС наполнены атрибутивной/параметрической информацией.</w:t>
      </w:r>
    </w:p>
    <w:p>
      <w:pPr>
        <w:pStyle w:val="Normal"/>
        <w:rPr/>
      </w:pPr>
      <w:r>
        <w:rPr>
          <w:b/>
        </w:rPr>
        <w:t>Коллизии</w:t>
      </w:r>
      <w:r>
        <w:rPr/>
        <w:t xml:space="preserve"> – противоречие (геометрическое пересечение либо нарушение допустимых расстояний проектируемым объектом) между двумя и более элементами цифровой модели.</w:t>
      </w:r>
    </w:p>
    <w:p>
      <w:pPr>
        <w:pStyle w:val="Heading2"/>
        <w:rPr/>
      </w:pPr>
      <w:bookmarkStart w:id="19" w:name="_Toc209515818"/>
      <w:r>
        <w:rPr/>
        <w:t>В настоящем документе используются следующие сокращения:</w:t>
      </w:r>
      <w:bookmarkEnd w:id="19"/>
    </w:p>
    <w:p>
      <w:pPr>
        <w:pStyle w:val="Normal"/>
        <w:tabs>
          <w:tab w:val="clear" w:pos="708"/>
          <w:tab w:val="left" w:pos="1276" w:leader="none"/>
          <w:tab w:val="left" w:pos="3150" w:leader="none"/>
        </w:tabs>
        <w:spacing w:lineRule="auto" w:line="240" w:before="120" w:after="120"/>
        <w:rPr>
          <w:rFonts w:cs="Times New Roman"/>
          <w:szCs w:val="24"/>
        </w:rPr>
      </w:pPr>
      <w:r>
        <w:rPr>
          <w:rFonts w:cs="Times New Roman"/>
          <w:b/>
          <w:szCs w:val="24"/>
        </w:rPr>
        <w:t xml:space="preserve">СРЭБ </w:t>
      </w:r>
      <w:r>
        <w:rPr>
          <w:rFonts w:cs="Times New Roman"/>
          <w:szCs w:val="24"/>
        </w:rPr>
        <w:t>– служебно-ремонтно-эксплуатационный блок;</w:t>
      </w:r>
    </w:p>
    <w:p>
      <w:pPr>
        <w:pStyle w:val="Normal"/>
        <w:tabs>
          <w:tab w:val="clear" w:pos="708"/>
          <w:tab w:val="left" w:pos="1276" w:leader="none"/>
          <w:tab w:val="left" w:pos="3150" w:leader="none"/>
        </w:tabs>
        <w:spacing w:lineRule="auto" w:line="240" w:before="120" w:after="120"/>
        <w:rPr>
          <w:rFonts w:cs="Times New Roman"/>
          <w:szCs w:val="24"/>
        </w:rPr>
      </w:pPr>
      <w:r>
        <w:rPr>
          <w:rFonts w:cs="Times New Roman"/>
          <w:b/>
          <w:szCs w:val="24"/>
        </w:rPr>
        <w:t>ЦИМ</w:t>
      </w:r>
      <w:r>
        <w:rPr>
          <w:rFonts w:cs="Times New Roman"/>
          <w:szCs w:val="24"/>
        </w:rPr>
        <w:t xml:space="preserve"> – цифровая информационная модель;</w:t>
      </w:r>
    </w:p>
    <w:p>
      <w:pPr>
        <w:pStyle w:val="Normal"/>
        <w:tabs>
          <w:tab w:val="clear" w:pos="708"/>
          <w:tab w:val="left" w:pos="1276" w:leader="none"/>
          <w:tab w:val="left" w:pos="3150" w:leader="none"/>
        </w:tabs>
        <w:spacing w:lineRule="auto" w:line="240" w:before="120" w:after="120"/>
        <w:rPr>
          <w:rFonts w:cs="Times New Roman"/>
          <w:szCs w:val="24"/>
        </w:rPr>
      </w:pPr>
      <w:r>
        <w:rPr>
          <w:rFonts w:cs="Times New Roman"/>
          <w:b/>
          <w:szCs w:val="24"/>
        </w:rPr>
        <w:t>ОКС</w:t>
      </w:r>
      <w:r>
        <w:rPr>
          <w:rFonts w:cs="Times New Roman"/>
          <w:szCs w:val="24"/>
        </w:rPr>
        <w:t xml:space="preserve"> – объект капитального строительства.</w:t>
      </w:r>
    </w:p>
    <w:p>
      <w:pPr>
        <w:pStyle w:val="Heading1"/>
        <w:rPr/>
      </w:pPr>
      <w:bookmarkStart w:id="20" w:name="_Toc229476896"/>
      <w:bookmarkStart w:id="21" w:name="_Toc209515819"/>
      <w:r>
        <w:rPr/>
        <w:t>Проектная команда</w:t>
      </w:r>
      <w:bookmarkEnd w:id="20"/>
      <w:bookmarkEnd w:id="21"/>
    </w:p>
    <w:p>
      <w:pPr>
        <w:pStyle w:val="Heading2"/>
        <w:rPr>
          <w:b/>
        </w:rPr>
      </w:pPr>
      <w:bookmarkStart w:id="22" w:name="_Toc209515820"/>
      <w:r>
        <w:rPr>
          <w:b/>
        </w:rPr>
        <w:t xml:space="preserve">Архитектор </w:t>
      </w:r>
      <w:r>
        <w:rPr/>
        <w:t>ответственен за разработку архитектурных решений, соответствующей части ЦИМ, документации марки АР.</w:t>
      </w:r>
      <w:bookmarkEnd w:id="22"/>
    </w:p>
    <w:p>
      <w:pPr>
        <w:pStyle w:val="Heading2"/>
        <w:rPr/>
      </w:pPr>
      <w:bookmarkStart w:id="23" w:name="_Toc209515822"/>
      <w:r>
        <w:rPr>
          <w:b/>
        </w:rPr>
        <w:t xml:space="preserve">Инженер конструктор </w:t>
      </w:r>
      <w:r>
        <w:rPr/>
        <w:t>ответственен за разработку конструктивных решений, соответствующей части ЦИМ, документации марки КР.</w:t>
      </w:r>
      <w:bookmarkEnd w:id="23"/>
    </w:p>
    <w:p>
      <w:pPr>
        <w:pStyle w:val="Heading2"/>
        <w:rPr/>
      </w:pPr>
      <w:bookmarkStart w:id="24" w:name="_Toc209515823"/>
      <w:r>
        <w:rPr>
          <w:b/>
        </w:rPr>
        <w:t xml:space="preserve">Инженер по отоплению, вентиляции и кондиционированию воздуха </w:t>
      </w:r>
      <w:r>
        <w:rPr/>
        <w:t>ответственен за разработку решений в части отопления, вентиляции и кондиционирования воздуха, соответствующей части ЦИМ, документации марки ИОС1.</w:t>
      </w:r>
      <w:bookmarkEnd w:id="24"/>
    </w:p>
    <w:p>
      <w:pPr>
        <w:pStyle w:val="Heading2"/>
        <w:rPr/>
      </w:pPr>
      <w:bookmarkStart w:id="25" w:name="_Toc209515824"/>
      <w:r>
        <w:rPr>
          <w:b/>
        </w:rPr>
        <w:t xml:space="preserve">Инженер по водоснабжению и водоотведению </w:t>
      </w:r>
      <w:r>
        <w:rPr/>
        <w:t>ответственен за разработку решений в части водоснабжения и водоотведения, соответствующей части ЦИМ, документации марки ИОС2.</w:t>
      </w:r>
      <w:bookmarkEnd w:id="25"/>
    </w:p>
    <w:p>
      <w:pPr>
        <w:pStyle w:val="Heading2"/>
        <w:rPr/>
      </w:pPr>
      <w:bookmarkStart w:id="26" w:name="_Toc209515825"/>
      <w:r>
        <w:rPr>
          <w:b/>
        </w:rPr>
        <w:t>Инженер технолог</w:t>
      </w:r>
      <w:r>
        <w:rPr/>
        <w:t xml:space="preserve"> ответственен за разработку технологических решений в части ЦИМ, документации марки ТХВ.</w:t>
      </w:r>
    </w:p>
    <w:p>
      <w:pPr>
        <w:pStyle w:val="Heading2"/>
        <w:rPr/>
      </w:pPr>
      <w:r>
        <w:rPr>
          <w:b/>
        </w:rPr>
        <w:t xml:space="preserve">ТИМ-координатор </w:t>
      </w:r>
      <w:r>
        <w:rPr/>
        <w:t>ответственен за координацию работы в общей модели, формирование полной ЦИМ, проверку ЦИМ на коллизии, организацию исправления коллизий, формирование элементной базы ЦИМ, контроль соответствия ЦИМ элементно-параметрическому составу.</w:t>
      </w:r>
      <w:bookmarkEnd w:id="26"/>
    </w:p>
    <w:p>
      <w:pPr>
        <w:pStyle w:val="Heading2"/>
        <w:rPr/>
      </w:pPr>
      <w:bookmarkStart w:id="27" w:name="_Toc209515826"/>
      <w:r>
        <w:rPr>
          <w:b/>
        </w:rPr>
        <w:t xml:space="preserve">Программист </w:t>
      </w:r>
      <w:r>
        <w:rPr/>
        <w:t>ответственен за разработку программных решений в соответствии с частным заданием.</w:t>
      </w:r>
      <w:bookmarkEnd w:id="27"/>
    </w:p>
    <w:p>
      <w:pPr>
        <w:pStyle w:val="Heading1"/>
        <w:rPr/>
      </w:pPr>
      <w:bookmarkStart w:id="28" w:name="_Toc229476897"/>
      <w:bookmarkStart w:id="29" w:name="_Toc209515827"/>
      <w:r>
        <w:rPr/>
        <w:t>Исходные данные</w:t>
      </w:r>
      <w:bookmarkEnd w:id="28"/>
      <w:bookmarkEnd w:id="29"/>
    </w:p>
    <w:p>
      <w:pPr>
        <w:pStyle w:val="Normal"/>
        <w:rPr/>
      </w:pPr>
      <w:r>
        <w:rPr/>
        <w:t>Настоящим заданием предусмотрена разработка ЦИМ здания СРЭБ, а также формирование из ЦИМ проектной документации.</w:t>
      </w:r>
    </w:p>
    <w:p>
      <w:pPr>
        <w:pStyle w:val="Normal"/>
        <w:rPr/>
      </w:pPr>
      <w:r>
        <w:rPr/>
        <w:t>Общие требования к проектной документации и ее объему изложены в Постановлении Правительства РФ от 16.02.2008 N 87 "О составе разделов проектной документации и требованиях к их содержанию".</w:t>
      </w:r>
    </w:p>
    <w:p>
      <w:pPr>
        <w:pStyle w:val="Normal"/>
        <w:rPr/>
      </w:pPr>
      <w:r>
        <w:rPr/>
        <w:t>Частные требования по специальностям, а также к ЦИМ изложены в соответствующих разделах настоящего задания.</w:t>
      </w:r>
    </w:p>
    <w:p>
      <w:pPr>
        <w:pStyle w:val="Normal"/>
        <w:rPr/>
      </w:pPr>
      <w:r>
        <w:rPr/>
        <w:t xml:space="preserve">Материалы инженерных изысканий изложены в </w:t>
      </w:r>
      <w:r>
        <w:rPr/>
        <w:fldChar w:fldCharType="begin"/>
      </w:r>
      <w:r>
        <w:rPr/>
        <w:instrText xml:space="preserve"> REF Изыскания \h </w:instrText>
      </w:r>
      <w:r>
        <w:rPr/>
        <w:fldChar w:fldCharType="separate"/>
      </w:r>
      <w:r>
        <w:rPr/>
        <w:t>Приложение А</w:t>
      </w:r>
      <w:r>
        <w:rPr/>
        <w:fldChar w:fldCharType="end"/>
      </w:r>
      <w:r>
        <w:rPr/>
        <w:t xml:space="preserve"> к настоящему заданию.</w:t>
      </w:r>
    </w:p>
    <w:p>
      <w:pPr>
        <w:pStyle w:val="Normal"/>
        <w:rPr/>
      </w:pPr>
      <w:r>
        <w:rPr/>
        <w:t xml:space="preserve">Сведения о технологических процессах в проектируемом здании, основные пожарные характеристики, численность персонала с разделением по группам производственных процессов и режиму труда приведены в </w:t>
      </w:r>
      <w:r>
        <w:rPr/>
        <w:fldChar w:fldCharType="begin"/>
      </w:r>
      <w:r>
        <w:rPr/>
        <w:instrText xml:space="preserve"> REF Архитектурный_промежуток \h </w:instrText>
      </w:r>
      <w:r>
        <w:rPr/>
        <w:fldChar w:fldCharType="separate"/>
      </w:r>
      <w:r>
        <w:rPr/>
        <w:t>Приложение Б</w:t>
      </w:r>
      <w:r>
        <w:rPr/>
        <w:fldChar w:fldCharType="end"/>
      </w:r>
      <w:r>
        <w:rPr/>
        <w:t>.</w:t>
      </w:r>
    </w:p>
    <w:p>
      <w:pPr>
        <w:pStyle w:val="Heading1"/>
        <w:rPr/>
      </w:pPr>
      <w:bookmarkStart w:id="30" w:name="_Toc229476898"/>
      <w:bookmarkStart w:id="31" w:name="_Toc209515828"/>
      <w:r>
        <w:rPr/>
        <w:t>Архитектурные решения</w:t>
      </w:r>
      <w:bookmarkEnd w:id="30"/>
      <w:bookmarkEnd w:id="31"/>
    </w:p>
    <w:p>
      <w:pPr>
        <w:pStyle w:val="Normal"/>
        <w:rPr/>
      </w:pPr>
      <w:r>
        <w:rPr/>
        <w:t>Определить требуемую ширину коридоров, эвакуационных путей и выходов, исходя из указанной численности персонала и требований по эвакуации (СП 1.13130), проверить соответствие чертежей этим требованиям.</w:t>
      </w:r>
    </w:p>
    <w:p>
      <w:pPr>
        <w:pStyle w:val="Normal"/>
        <w:rPr/>
      </w:pPr>
      <w:r>
        <w:rPr/>
        <w:t xml:space="preserve">Определить количество санитарных приборов для персонала в соответствии с требованиями СП 44.13330, расставить приборы в соответствующих помещениях и передать разработчикам дисциплины </w:t>
      </w:r>
      <w:r>
        <w:rPr>
          <w:b/>
          <w:bCs/>
        </w:rPr>
        <w:t>ВК</w:t>
      </w:r>
      <w:r>
        <w:rPr/>
        <w:t>.</w:t>
      </w:r>
    </w:p>
    <w:p>
      <w:pPr>
        <w:pStyle w:val="Normal"/>
        <w:rPr/>
      </w:pPr>
      <w:r>
        <w:rPr/>
        <w:t>Проставить пределы огнестойкости стен, перегородок и дверей в соответствии с требованиями СП 4.13130, опираясь на предоставленные сведения о категории помещений по пожарной и взрывопожарной опасности.</w:t>
      </w:r>
    </w:p>
    <w:p>
      <w:pPr>
        <w:pStyle w:val="Normal"/>
        <w:rPr/>
      </w:pPr>
      <w:r>
        <w:rPr/>
        <w:t>Определить основные строительные показатели здания в соответствии с Приложением А СП 56.13330.</w:t>
      </w:r>
    </w:p>
    <w:p>
      <w:pPr>
        <w:pStyle w:val="Normal"/>
        <w:rPr/>
      </w:pPr>
      <w:r>
        <w:rPr/>
        <w:t>Проверить соответствие уклона кровли по СП 17.13330. Обосновать размер уклона.</w:t>
      </w:r>
    </w:p>
    <w:p>
      <w:pPr>
        <w:pStyle w:val="Normal"/>
        <w:rPr/>
      </w:pPr>
      <w:r>
        <w:rPr/>
        <w:t>Проверить необходимость устройства кровельных ограждений, определить требуемую высоту ограждений при необходимости.</w:t>
      </w:r>
    </w:p>
    <w:p>
      <w:pPr>
        <w:pStyle w:val="Normal"/>
        <w:rPr>
          <w:szCs w:val="24"/>
        </w:rPr>
      </w:pPr>
      <w:r>
        <w:rPr/>
        <w:t xml:space="preserve">Определить необходимость соответствия объемно-планировочных решений требованиям по инсоляции и КЕО, указать помещения, подлежащие проверке, обосновать выбор. В </w:t>
      </w:r>
      <w:r>
        <w:rPr>
          <w:szCs w:val="24"/>
        </w:rPr>
        <w:t>качестве исходных данных – сведения о производственных процессах в здании, классификации здания по функциональной пожарной опасности.</w:t>
      </w:r>
    </w:p>
    <w:p>
      <w:pPr>
        <w:pStyle w:val="Normal"/>
        <w:rPr/>
      </w:pPr>
      <w:r>
        <w:rPr/>
        <w:t>За отметку 0,000 принята отметка чистого пола первого этажа.</w:t>
      </w:r>
    </w:p>
    <w:p>
      <w:pPr>
        <w:pStyle w:val="Normal"/>
        <w:rPr>
          <w:szCs w:val="24"/>
        </w:rPr>
      </w:pPr>
      <w:r>
        <w:rPr>
          <w:szCs w:val="24"/>
        </w:rPr>
        <w:t>Конструктивная схема - каркасная, с ограждающими конструкциями из трехслойных стеновых и кровельных панелей заводского изготовления с полимерным покрытием. Кровля неэксплуатируемая.</w:t>
      </w:r>
    </w:p>
    <w:p>
      <w:pPr>
        <w:pStyle w:val="Normal"/>
        <w:rPr>
          <w:szCs w:val="24"/>
        </w:rPr>
      </w:pPr>
      <w:r>
        <w:rPr>
          <w:szCs w:val="24"/>
        </w:rPr>
        <w:t xml:space="preserve">В помещении хранения резервного двигателя в осях 1-3 </w:t>
      </w:r>
      <w:r>
        <w:rPr/>
        <w:t>отм. плюс 5,400 предусмотрена ремонтная площадка для обслуживания крана ручного подвесного пролетом 6 метров, длиной 7,2 м, грузоподъемностью 2 т.</w:t>
      </w:r>
      <w:r>
        <w:rPr>
          <w:szCs w:val="24"/>
        </w:rPr>
        <w:t xml:space="preserve"> </w:t>
      </w:r>
    </w:p>
    <w:p>
      <w:pPr>
        <w:pStyle w:val="Normal"/>
        <w:rPr/>
      </w:pPr>
      <w:r>
        <w:rPr/>
        <w:t>В осях 3-8 в помещении хранения резервного двигателя со сварочным участком на отм плюс 5,500 предусмотрена ремонтная площадка для обслуживания крана электрического подвесного г/п-5,0 т, пролетом 12 м, длиной 13,2 м. Ограждение ремонтной площадки высотой 1,0 м. У ограждения ремонтной площадки предусмотрена сплошная подшивка по низу на высоту 100 мм для предупреждения падения на пол инструмента. Пол предусмотрен из стальных рифленых листов. </w:t>
      </w:r>
    </w:p>
    <w:p>
      <w:pPr>
        <w:pStyle w:val="Normal"/>
        <w:rPr/>
      </w:pPr>
      <w:r>
        <w:rPr/>
        <w:t>Лестница для доступа на ремонтную площадку предусматривается шириной не менее 600 мм, с углом наклона к горизонту не более 60º, ступени плоские из стальных рифленых листов шириной не менее 150 мм.</w:t>
      </w:r>
    </w:p>
    <w:p>
      <w:pPr>
        <w:pStyle w:val="Normal"/>
        <w:rPr/>
      </w:pPr>
      <w:r>
        <w:rPr/>
        <w:t>Отметка нижней полки двутавра (ездового пути крана) плюс 7,400.</w:t>
      </w:r>
    </w:p>
    <w:p>
      <w:pPr>
        <w:pStyle w:val="Normal"/>
        <w:rPr/>
      </w:pPr>
      <w:r>
        <w:rPr/>
        <w:t>Степень огнестойкости здания – IV;</w:t>
      </w:r>
    </w:p>
    <w:p>
      <w:pPr>
        <w:pStyle w:val="Normal"/>
        <w:rPr/>
      </w:pPr>
      <w:r>
        <w:rPr/>
        <w:t>Класс функциональной пожарной опасности здания – Ф5.1;</w:t>
      </w:r>
    </w:p>
    <w:p>
      <w:pPr>
        <w:pStyle w:val="Normal"/>
        <w:rPr/>
      </w:pPr>
      <w:r>
        <w:rPr/>
        <w:t>Категория по взрывопожарной опасности – В;</w:t>
      </w:r>
    </w:p>
    <w:p>
      <w:pPr>
        <w:pStyle w:val="Normal"/>
        <w:rPr/>
      </w:pPr>
      <w:r>
        <w:rPr/>
        <w:t>Уровень ответственности – повышенный;</w:t>
      </w:r>
    </w:p>
    <w:p>
      <w:pPr>
        <w:pStyle w:val="Normal"/>
        <w:rPr/>
      </w:pPr>
      <w:r>
        <w:rPr/>
        <w:t>Класс пожарной опасности строительных конструкций – К0;</w:t>
      </w:r>
    </w:p>
    <w:p>
      <w:pPr>
        <w:pStyle w:val="Normal"/>
        <w:rPr/>
      </w:pPr>
      <w:r>
        <w:rPr/>
        <w:t>Класс конструктивной пожарной опасности – С0.</w:t>
      </w:r>
    </w:p>
    <w:p>
      <w:pPr>
        <w:pStyle w:val="Heading1"/>
        <w:rPr/>
      </w:pPr>
      <w:bookmarkStart w:id="32" w:name="_Toc229476899"/>
      <w:bookmarkStart w:id="33" w:name="_Toc209515829"/>
      <w:r>
        <w:rPr/>
        <w:t>Конструктивные решения</w:t>
      </w:r>
      <w:bookmarkEnd w:id="32"/>
      <w:bookmarkEnd w:id="33"/>
    </w:p>
    <w:p>
      <w:pPr>
        <w:pStyle w:val="Normal"/>
        <w:rPr/>
      </w:pPr>
      <w:bookmarkStart w:id="34" w:name="_Toc209515830"/>
      <w:r>
        <w:rPr/>
        <w:t>Уровень ответственности сооружения – повышенный.</w:t>
      </w:r>
    </w:p>
    <w:p>
      <w:pPr>
        <w:pStyle w:val="Normal"/>
        <w:rPr/>
      </w:pPr>
      <w:r>
        <w:rPr/>
        <w:t>Разработать строительные конструкции каркаса здания и фундаменты.</w:t>
      </w:r>
    </w:p>
    <w:p>
      <w:pPr>
        <w:pStyle w:val="Normal"/>
        <w:rPr/>
      </w:pPr>
      <w:r>
        <w:rPr/>
        <w:t xml:space="preserve">Выполнить совместный расчет каркаса здания и фундаментов в ПК </w:t>
      </w:r>
      <w:r>
        <w:rPr>
          <w:lang w:val="en-US"/>
        </w:rPr>
        <w:t>SCAD</w:t>
      </w:r>
      <w:r>
        <w:rPr/>
        <w:t>/Лира. Выполнить расчет основных узлов каркаса здания: база колонны; сопряжение колонны и ригеля; коньковый узел и т.п.</w:t>
      </w:r>
    </w:p>
    <w:p>
      <w:pPr>
        <w:pStyle w:val="Normal"/>
        <w:rPr/>
      </w:pPr>
      <w:r>
        <w:rPr/>
        <w:t>Каркас здания принят рамно-связевой. Ограждающие конструкции – трехслойные сэндвич-панели. В поперечном направлении устойчивость каркаса обеспечивается за счет жесткого узла сопряжения ригеля с колонной и жесткого узла сопряжения колонны с фундаментом. В продольном направлении устойчивость каркаса обеспечивается за счет постановки вертикальных связей, горизонтальных связей по покрытию и горизонтальных распорок между поперечными рамами.</w:t>
      </w:r>
    </w:p>
    <w:p>
      <w:pPr>
        <w:pStyle w:val="Normal"/>
        <w:rPr/>
      </w:pPr>
      <w:r>
        <w:rPr/>
        <w:t>При проектировании каркаса здания необходимо учесть требование по обеспечению защиты здания от прогрессирующего обрушения и требование по устойчивости конструкций к взрывным нагрузкам.</w:t>
      </w:r>
    </w:p>
    <w:p>
      <w:pPr>
        <w:pStyle w:val="Normal"/>
        <w:rPr/>
      </w:pPr>
      <w:r>
        <w:rPr/>
        <w:t xml:space="preserve">Для расчетов на взрывное воздействие принять: максимальное избыточное давление при взрыве </w:t>
      </w:r>
      <w:r>
        <w:rPr>
          <w:lang w:val="en-US"/>
        </w:rPr>
        <w:t>p</w:t>
      </w:r>
      <w:r>
        <w:rPr>
          <w:vertAlign w:val="subscript"/>
          <w:lang w:val="en-US"/>
        </w:rPr>
        <w:t>max</w:t>
      </w:r>
      <w:r>
        <w:rPr/>
        <w:t>=4</w:t>
      </w:r>
      <w:r>
        <w:rPr>
          <w:lang w:val="en-US"/>
        </w:rPr>
        <w:t> </w:t>
      </w:r>
      <w:r>
        <w:rPr/>
        <w:t xml:space="preserve">кПа; продолжительность положительной фазы взрыва </w:t>
      </w:r>
      <w:r>
        <w:rPr>
          <w:lang w:val="en-US"/>
        </w:rPr>
        <w:t>t</w:t>
      </w:r>
      <w:r>
        <w:rPr>
          <w:vertAlign w:val="subscript"/>
          <w:lang w:val="en-US"/>
        </w:rPr>
        <w:t>p</w:t>
      </w:r>
      <w:r>
        <w:rPr/>
        <w:t>=0,55</w:t>
      </w:r>
      <w:r>
        <w:rPr>
          <w:lang w:val="en-US"/>
        </w:rPr>
        <w:t> </w:t>
      </w:r>
      <w:r>
        <w:rPr/>
        <w:t>с.</w:t>
      </w:r>
    </w:p>
    <w:p>
      <w:pPr>
        <w:pStyle w:val="Normal"/>
        <w:rPr/>
      </w:pPr>
      <w:r>
        <w:rPr/>
        <w:t>Выполнить вариантное проектирование фундаментов с расчетным обоснованием.</w:t>
      </w:r>
    </w:p>
    <w:p>
      <w:pPr>
        <w:pStyle w:val="Normal"/>
        <w:rPr/>
      </w:pPr>
      <w:r>
        <w:rPr/>
        <w:t>Произвести подбор марки стали конструкций (элементы каркаса, ростверки, сваи) на основании климатических данных.</w:t>
      </w:r>
    </w:p>
    <w:p>
      <w:pPr>
        <w:pStyle w:val="Normal"/>
        <w:rPr/>
      </w:pPr>
      <w:r>
        <w:rPr/>
        <w:t>Перечень нормативной документации, на основании применения которой будет обеспечиваться надежность и долговечность проектируемого здания, представлен в Разделе </w:t>
      </w:r>
      <w:r>
        <w:rPr/>
        <w:fldChar w:fldCharType="begin"/>
      </w:r>
      <w:r>
        <w:rPr/>
        <w:instrText xml:space="preserve"> REF _Ref210640869 \r \r \h </w:instrText>
      </w:r>
      <w:r>
        <w:rPr/>
        <w:fldChar w:fldCharType="separate"/>
      </w:r>
      <w:r>
        <w:rPr/>
        <w:t>2</w:t>
      </w:r>
      <w:r>
        <w:rPr/>
        <w:fldChar w:fldCharType="end"/>
      </w:r>
      <w:r>
        <w:rPr/>
        <w:t>.</w:t>
      </w:r>
    </w:p>
    <w:p>
      <w:pPr>
        <w:pStyle w:val="Heading1"/>
        <w:rPr/>
      </w:pPr>
      <w:bookmarkStart w:id="35" w:name="_Toc209515830"/>
      <w:bookmarkStart w:id="36" w:name="_Toc229476900"/>
      <w:r>
        <w:rPr/>
        <w:t>Решения по отоплению, вентиляции и кондиционированию</w:t>
      </w:r>
      <w:bookmarkEnd w:id="35"/>
      <w:bookmarkEnd w:id="36"/>
    </w:p>
    <w:p>
      <w:pPr>
        <w:pStyle w:val="Heading2"/>
        <w:rPr/>
      </w:pPr>
      <w:r>
        <w:rPr/>
        <w:t>Отопление</w:t>
      </w:r>
    </w:p>
    <w:p>
      <w:pPr>
        <w:pStyle w:val="ListParagraph"/>
        <w:numPr>
          <w:ilvl w:val="0"/>
          <w:numId w:val="3"/>
        </w:numPr>
        <w:rPr/>
      </w:pPr>
      <w:r>
        <w:rPr/>
        <w:t>Теплотехнический расчет ограждающих конструкций. Расчет толщины утеплителя стеновых и кровельных панелей, толщины утеплителя пола;</w:t>
      </w:r>
    </w:p>
    <w:p>
      <w:pPr>
        <w:pStyle w:val="ListParagraph"/>
        <w:numPr>
          <w:ilvl w:val="0"/>
          <w:numId w:val="3"/>
        </w:numPr>
        <w:rPr/>
      </w:pPr>
      <w:r>
        <w:rPr/>
        <w:t>Расчет потерь теплоты для всех помещений с учетом инфильтрации, c заполнением таблицы;</w:t>
      </w:r>
    </w:p>
    <w:p>
      <w:pPr>
        <w:pStyle w:val="ListParagraph"/>
        <w:numPr>
          <w:ilvl w:val="0"/>
          <w:numId w:val="3"/>
        </w:numPr>
        <w:rPr/>
      </w:pPr>
      <w:r>
        <w:rPr/>
        <w:t>Выбор системы отопления с расстановкой приборов и трассой трубопроводов;</w:t>
      </w:r>
    </w:p>
    <w:p>
      <w:pPr>
        <w:pStyle w:val="ListParagraph"/>
        <w:numPr>
          <w:ilvl w:val="0"/>
          <w:numId w:val="3"/>
        </w:numPr>
        <w:rPr/>
      </w:pPr>
      <w:r>
        <w:rPr/>
        <w:t>Гидравлический расчет системы отопления.</w:t>
      </w:r>
    </w:p>
    <w:p>
      <w:pPr>
        <w:pStyle w:val="Heading2"/>
        <w:rPr/>
      </w:pPr>
      <w:r>
        <w:rPr/>
        <w:t>Вентиляция</w:t>
      </w:r>
    </w:p>
    <w:p>
      <w:pPr>
        <w:pStyle w:val="ListParagraph"/>
        <w:numPr>
          <w:ilvl w:val="0"/>
          <w:numId w:val="3"/>
        </w:numPr>
        <w:rPr/>
      </w:pPr>
      <w:r>
        <w:rPr/>
        <w:t>Расчет воздухообмена для каждого помещения, принятого с кратностью по нормативным документам или рассчитанного на ассимиляцию вредностей до ПДК и на разбавление взрывоопасных веществ ниже НКПРП с заполнением таблицы «Расчетный воздухообмен по помещениям»;</w:t>
      </w:r>
    </w:p>
    <w:p>
      <w:pPr>
        <w:pStyle w:val="ListParagraph"/>
        <w:numPr>
          <w:ilvl w:val="0"/>
          <w:numId w:val="3"/>
        </w:numPr>
        <w:rPr/>
      </w:pPr>
      <w:r>
        <w:rPr/>
        <w:t>Выбор типа вентиляции (естественная, механическая, приточно-вытяжная с рекуперацией тепла удаляемого воздуха);</w:t>
      </w:r>
    </w:p>
    <w:p>
      <w:pPr>
        <w:pStyle w:val="ListParagraph"/>
        <w:numPr>
          <w:ilvl w:val="0"/>
          <w:numId w:val="3"/>
        </w:numPr>
        <w:rPr/>
      </w:pPr>
      <w:r>
        <w:rPr/>
        <w:t>Организация воздухообменов, определение количества приточных и вытяжных систем (общие системы вентиляции для групп помещений с учетом требований НТД);</w:t>
      </w:r>
    </w:p>
    <w:p>
      <w:pPr>
        <w:pStyle w:val="ListParagraph"/>
        <w:numPr>
          <w:ilvl w:val="0"/>
          <w:numId w:val="3"/>
        </w:numPr>
        <w:rPr/>
      </w:pPr>
      <w:r>
        <w:rPr/>
        <w:t>Расстановка сетевых элементов систем вентиляции (клапаны, воздухораспределителя, шумоглушители…);</w:t>
      </w:r>
    </w:p>
    <w:p>
      <w:pPr>
        <w:pStyle w:val="ListParagraph"/>
        <w:numPr>
          <w:ilvl w:val="0"/>
          <w:numId w:val="3"/>
        </w:numPr>
        <w:rPr/>
      </w:pPr>
      <w:r>
        <w:rPr/>
        <w:t>Аэродинамический расчет систем вентиляции (на примере 1 приточная, 1 вытяжная система);</w:t>
      </w:r>
    </w:p>
    <w:p>
      <w:pPr>
        <w:pStyle w:val="ListParagraph"/>
        <w:numPr>
          <w:ilvl w:val="0"/>
          <w:numId w:val="3"/>
        </w:numPr>
        <w:rPr/>
      </w:pPr>
      <w:r>
        <w:rPr/>
        <w:t>Подбор вентиляционного оборудования (вентиляторы, приточные установки).</w:t>
      </w:r>
    </w:p>
    <w:p>
      <w:pPr>
        <w:pStyle w:val="Heading2"/>
        <w:rPr/>
      </w:pPr>
      <w:r>
        <w:rPr/>
        <w:t>Противодымная вентиляция</w:t>
      </w:r>
    </w:p>
    <w:p>
      <w:pPr>
        <w:pStyle w:val="ListParagraph"/>
        <w:numPr>
          <w:ilvl w:val="0"/>
          <w:numId w:val="3"/>
        </w:numPr>
        <w:rPr/>
      </w:pPr>
      <w:r>
        <w:rPr/>
        <w:t>Определить помещения в здании, для которых необходимо устройство противодымной вентиляции;</w:t>
      </w:r>
    </w:p>
    <w:p>
      <w:pPr>
        <w:pStyle w:val="ListParagraph"/>
        <w:numPr>
          <w:ilvl w:val="0"/>
          <w:numId w:val="3"/>
        </w:numPr>
        <w:rPr/>
      </w:pPr>
      <w:r>
        <w:rPr/>
        <w:t xml:space="preserve">Выбор системы противодымной вентиляции (коридор, непосредственно из помещения); </w:t>
      </w:r>
    </w:p>
    <w:p>
      <w:pPr>
        <w:pStyle w:val="ListParagraph"/>
        <w:numPr>
          <w:ilvl w:val="0"/>
          <w:numId w:val="3"/>
        </w:numPr>
        <w:rPr/>
      </w:pPr>
      <w:r>
        <w:rPr/>
        <w:t>Расчет вытяжной противодымной вентиляции, расчет приточной противодымной вентиляции;</w:t>
      </w:r>
    </w:p>
    <w:p>
      <w:pPr>
        <w:pStyle w:val="ListParagraph"/>
        <w:numPr>
          <w:ilvl w:val="0"/>
          <w:numId w:val="3"/>
        </w:numPr>
        <w:rPr/>
      </w:pPr>
      <w:r>
        <w:rPr/>
        <w:t>Подбор оборудования (вентиляторы, клапаны);</w:t>
      </w:r>
    </w:p>
    <w:p>
      <w:pPr>
        <w:pStyle w:val="ListParagraph"/>
        <w:numPr>
          <w:ilvl w:val="0"/>
          <w:numId w:val="3"/>
        </w:numPr>
        <w:rPr/>
      </w:pPr>
      <w:r>
        <w:rPr/>
        <w:t>Автоматизация системы противодымной вентиляции.</w:t>
      </w:r>
    </w:p>
    <w:p>
      <w:pPr>
        <w:pStyle w:val="Heading1"/>
        <w:rPr/>
      </w:pPr>
      <w:bookmarkStart w:id="37" w:name="_Toc229476901"/>
      <w:bookmarkStart w:id="38" w:name="_Toc209515831"/>
      <w:r>
        <w:rPr/>
        <w:t>Решения по водоснабжению и водоотведению</w:t>
      </w:r>
      <w:bookmarkEnd w:id="37"/>
      <w:bookmarkEnd w:id="38"/>
    </w:p>
    <w:p>
      <w:pPr>
        <w:pStyle w:val="Normal"/>
        <w:rPr/>
      </w:pPr>
      <w:r>
        <w:rPr/>
        <w:t xml:space="preserve">Разработать системы водоснабжения и водоотведения с учетом существующих инженерных систем, гидрогеологических, климатических и санитарных условий района. </w:t>
      </w:r>
    </w:p>
    <w:p>
      <w:pPr>
        <w:pStyle w:val="Normal"/>
        <w:rPr/>
      </w:pPr>
      <w:r>
        <w:rPr/>
        <w:t>Проект разработать в соответствии с требованиями действующих законодательных и нормативных правовых актов Российской Федерации, технических регламентов, стандартов, сводов правил и других нормативных документов, содержащих установленные требования.</w:t>
      </w:r>
    </w:p>
    <w:p>
      <w:pPr>
        <w:pStyle w:val="Heading2"/>
        <w:rPr/>
      </w:pPr>
      <w:r>
        <w:rPr/>
        <w:t>Водоснабжение</w:t>
      </w:r>
    </w:p>
    <w:p>
      <w:pPr>
        <w:pStyle w:val="ListParagraph"/>
        <w:numPr>
          <w:ilvl w:val="0"/>
          <w:numId w:val="3"/>
        </w:numPr>
        <w:rPr>
          <w:rFonts w:eastAsia="Calibri" w:eastAsiaTheme="minorHAnsi"/>
          <w:sz w:val="20"/>
        </w:rPr>
      </w:pPr>
      <w:r>
        <w:rPr/>
        <w:t>Проектом предусмотреть раздельные системы хозяйственно-питьевого и противопожарного водоснабжения.</w:t>
      </w:r>
    </w:p>
    <w:p>
      <w:pPr>
        <w:pStyle w:val="ListParagraph"/>
        <w:numPr>
          <w:ilvl w:val="0"/>
          <w:numId w:val="3"/>
        </w:numPr>
        <w:rPr>
          <w:rFonts w:eastAsia="Times New Roman"/>
        </w:rPr>
      </w:pPr>
      <w:r>
        <w:rPr/>
        <w:t>Систему водоснабжения рассчитать на равномерную работу в течение суток максимального водопотребления.</w:t>
      </w:r>
    </w:p>
    <w:p>
      <w:pPr>
        <w:pStyle w:val="ListParagraph"/>
        <w:numPr>
          <w:ilvl w:val="0"/>
          <w:numId w:val="3"/>
        </w:numPr>
        <w:rPr/>
      </w:pPr>
      <w:r>
        <w:rPr/>
        <w:t>Расчетные расходы воды на хозяйственно-питьевые и производственные нужды определить с учетом количества работающих, количества смен и по норме расхода воды в смену на одного работающего, по количеству душевых сеток и наличие других потребителей (на нужды столовой, для нужд системы отопления, дистилляторной и т.д.) хозяйственно-бытового назначения. Подобрать устройства для измерения воды и диаметры трубопроводов согласно расходам.</w:t>
      </w:r>
    </w:p>
    <w:p>
      <w:pPr>
        <w:pStyle w:val="ListParagraph"/>
        <w:numPr>
          <w:ilvl w:val="0"/>
          <w:numId w:val="3"/>
        </w:numPr>
        <w:rPr/>
      </w:pPr>
      <w:r>
        <w:rPr/>
        <w:t>Расчетные расходы на нужды пожаротушения определить расчетами в соответствии с СП 10.13130.2020, СП 8.13130.2020.</w:t>
      </w:r>
    </w:p>
    <w:p>
      <w:pPr>
        <w:pStyle w:val="ListParagraph"/>
        <w:numPr>
          <w:ilvl w:val="0"/>
          <w:numId w:val="3"/>
        </w:numPr>
        <w:rPr/>
      </w:pPr>
      <w:r>
        <w:rPr/>
        <w:t>Определить требуемый напор в сетях хозяйственно-питьевого и противопожарного водоснабжения согласно СП 30.13330.2020 и СП 10.13130.2020.</w:t>
      </w:r>
    </w:p>
    <w:p>
      <w:pPr>
        <w:pStyle w:val="ListParagraph"/>
        <w:numPr>
          <w:ilvl w:val="0"/>
          <w:numId w:val="3"/>
        </w:numPr>
        <w:rPr/>
      </w:pPr>
      <w:r>
        <w:rPr/>
        <w:t>Рассчитать количество пожарных кранов на сети противопожарного водопровода и разместить их внутри здания согласно требованиям СП 10.13130.2020 и СП 30.13330.2020.</w:t>
      </w:r>
    </w:p>
    <w:p>
      <w:pPr>
        <w:pStyle w:val="ListParagraph"/>
        <w:numPr>
          <w:ilvl w:val="0"/>
          <w:numId w:val="3"/>
        </w:numPr>
        <w:rPr/>
      </w:pPr>
      <w:r>
        <w:rPr/>
        <w:t>Горячее водоснабжение здания осуществляется централизованно от сетей горячего водоснабжения. Рассчитать необходимый тепловой поток в средний час и в час максимального водопотребления. Рассчитать расходы на нужды горячего водоснабжения.</w:t>
      </w:r>
    </w:p>
    <w:p>
      <w:pPr>
        <w:pStyle w:val="Heading2"/>
        <w:rPr/>
      </w:pPr>
      <w:r>
        <w:rPr/>
        <w:t>Водоотведение</w:t>
      </w:r>
    </w:p>
    <w:p>
      <w:pPr>
        <w:pStyle w:val="ListParagraph"/>
        <w:numPr>
          <w:ilvl w:val="0"/>
          <w:numId w:val="3"/>
        </w:numPr>
        <w:rPr>
          <w:rFonts w:eastAsia="Calibri" w:eastAsiaTheme="minorHAnsi"/>
          <w:sz w:val="20"/>
        </w:rPr>
      </w:pPr>
      <w:r>
        <w:rPr/>
        <w:t>Проектом предусмотреть раздельные системы хозяйственно-бытовых и производственных стоков.</w:t>
      </w:r>
    </w:p>
    <w:p>
      <w:pPr>
        <w:pStyle w:val="ListParagraph"/>
        <w:numPr>
          <w:ilvl w:val="0"/>
          <w:numId w:val="3"/>
        </w:numPr>
        <w:rPr>
          <w:rFonts w:eastAsia="Times New Roman"/>
        </w:rPr>
      </w:pPr>
      <w:r>
        <w:rPr/>
        <w:t xml:space="preserve">Количество бытовых сточных вод определить исходя из численности обслуживающего персонала и норм водопотребления. </w:t>
      </w:r>
    </w:p>
    <w:p>
      <w:pPr>
        <w:pStyle w:val="ListParagraph"/>
        <w:numPr>
          <w:ilvl w:val="0"/>
          <w:numId w:val="3"/>
        </w:numPr>
        <w:rPr/>
      </w:pPr>
      <w:r>
        <w:rPr/>
        <w:t>Предусмотреть отвод сточных вод системы К1 от бытовых приборов. Выпуски из здания предусмотреть, ориентируясь на генплан, в сторону канализационной насосной станции.</w:t>
      </w:r>
    </w:p>
    <w:p>
      <w:pPr>
        <w:pStyle w:val="ListParagraph"/>
        <w:numPr>
          <w:ilvl w:val="0"/>
          <w:numId w:val="3"/>
        </w:numPr>
        <w:rPr/>
      </w:pPr>
      <w:r>
        <w:rPr/>
        <w:t>Подобрать диаметры стояков, трубопроводов и проложить их с минимально допустимыми уклонами согласно СП 30.13330.2020.</w:t>
      </w:r>
    </w:p>
    <w:p>
      <w:pPr>
        <w:pStyle w:val="ListParagraph"/>
        <w:numPr>
          <w:ilvl w:val="0"/>
          <w:numId w:val="3"/>
        </w:numPr>
        <w:rPr/>
      </w:pPr>
      <w:r>
        <w:rPr/>
        <w:t>Предусмотреть отвод сточных вод системы К3 от кондиционеров, а также трапов в венткамерах и от других производственных потребителей.</w:t>
      </w:r>
    </w:p>
    <w:p>
      <w:pPr>
        <w:pStyle w:val="Heading1"/>
        <w:rPr/>
      </w:pPr>
      <w:bookmarkStart w:id="39" w:name="_Toc229476902"/>
      <w:r>
        <w:rPr/>
        <w:t>Решения по технологической части</w:t>
      </w:r>
      <w:bookmarkEnd w:id="39"/>
    </w:p>
    <w:p>
      <w:pPr>
        <w:pStyle w:val="Normal"/>
        <w:rPr/>
      </w:pPr>
      <w:bookmarkStart w:id="40" w:name="_Toc209515832"/>
      <w:r>
        <w:rPr/>
        <w:t>Разработать проект в соответствии с требованиями действующих законодательных и нормативных правовых актов Российской Федерации, технических регламентов, стандартов, сводов правил и других нормативных документов, содержащих установленные требования.</w:t>
      </w:r>
    </w:p>
    <w:p>
      <w:pPr>
        <w:pStyle w:val="Normal"/>
        <w:rPr/>
      </w:pPr>
      <w:r>
        <w:rPr/>
        <w:t>Разработать согласно Постановлению Правительства РФ № 87 частью 22 проектный блок, содержащий описание технологического процесса, спецификацию оборудования и сведения о потребностях в ресурсах.  Предусмотреть проектом о</w:t>
      </w:r>
      <w:r>
        <w:rPr>
          <w:rFonts w:eastAsia="Times New Roman" w:cs="Times New Roman"/>
          <w:color w:val="000000"/>
        </w:rPr>
        <w:t>боснование показателей и характеристик (на основе сравнительного анализа) принятых технологических процессов и оборудования</w:t>
      </w:r>
      <w:r>
        <w:rPr/>
        <w:t xml:space="preserve"> в технологической части проекта.</w:t>
      </w:r>
    </w:p>
    <w:p>
      <w:pPr>
        <w:pStyle w:val="Normal"/>
        <w:rPr/>
      </w:pPr>
      <w:r>
        <w:rPr/>
        <w:t>Определить технологические процессы, оптимизировать площади, подобрать и расставить оборудование в соответствие нормативной документации (СП, ГОСТ, СанПиН, ОНТП), а именно:</w:t>
      </w:r>
    </w:p>
    <w:p>
      <w:pPr>
        <w:pStyle w:val="Normal"/>
        <w:ind w:hanging="0"/>
        <w:rPr/>
      </w:pPr>
      <w:r>
        <w:rPr/>
        <w:t>Помещение производственного назначения:</w:t>
      </w:r>
    </w:p>
    <w:p>
      <w:pPr>
        <w:pStyle w:val="Normal"/>
        <w:rPr/>
      </w:pPr>
      <w:r>
        <w:rPr/>
        <w:t xml:space="preserve">– </w:t>
      </w:r>
      <w:r>
        <w:rPr/>
        <w:t>слесарно-механический участок;</w:t>
      </w:r>
    </w:p>
    <w:p>
      <w:pPr>
        <w:pStyle w:val="Normal"/>
        <w:rPr>
          <w:highlight w:val="white"/>
        </w:rPr>
      </w:pPr>
      <w:r>
        <w:rPr/>
        <w:t xml:space="preserve">– </w:t>
      </w:r>
      <w:r>
        <w:rPr/>
        <w:t>электротехнический участок;</w:t>
      </w:r>
      <w:r>
        <w:rPr>
          <w:highlight w:val="white"/>
        </w:rPr>
        <w:t xml:space="preserve"> </w:t>
      </w:r>
    </w:p>
    <w:p>
      <w:pPr>
        <w:pStyle w:val="Normal"/>
        <w:rPr/>
      </w:pPr>
      <w:r>
        <w:rPr/>
        <w:t xml:space="preserve">– </w:t>
      </w:r>
      <w:r>
        <w:rPr/>
        <w:t xml:space="preserve">помещение хранения резервного двигателя; </w:t>
      </w:r>
    </w:p>
    <w:p>
      <w:pPr>
        <w:pStyle w:val="Normal"/>
        <w:rPr/>
      </w:pPr>
      <w:r>
        <w:rPr/>
        <w:t xml:space="preserve">– </w:t>
      </w:r>
      <w:r>
        <w:rPr/>
        <w:t xml:space="preserve">сварочный участок, </w:t>
      </w:r>
    </w:p>
    <w:p>
      <w:pPr>
        <w:pStyle w:val="Normal"/>
        <w:rPr/>
      </w:pPr>
      <w:r>
        <w:rPr/>
        <w:t xml:space="preserve">– </w:t>
      </w:r>
      <w:r>
        <w:rPr/>
        <w:t>мастерская ЭВС,</w:t>
      </w:r>
    </w:p>
    <w:p>
      <w:pPr>
        <w:pStyle w:val="Normal"/>
        <w:rPr/>
      </w:pPr>
      <w:r>
        <w:rPr/>
        <w:t xml:space="preserve">– </w:t>
      </w:r>
      <w:r>
        <w:rPr/>
        <w:t xml:space="preserve">мастерская АиМО   </w:t>
      </w:r>
    </w:p>
    <w:p>
      <w:pPr>
        <w:pStyle w:val="Normal"/>
        <w:ind w:hanging="0"/>
        <w:jc w:val="start"/>
        <w:rPr/>
      </w:pPr>
      <w:r>
        <w:rPr/>
        <w:t>Предусмотреть вспомогательные помещения с учетом совместимости хранения инструментов и запасных материалов на стеллажах: электротехническая кладовая, инструментальная кладовая, склад ЗИП.</w:t>
      </w:r>
    </w:p>
    <w:p>
      <w:pPr>
        <w:pStyle w:val="Normal"/>
        <w:ind w:hanging="0"/>
        <w:jc w:val="start"/>
        <w:rPr/>
      </w:pPr>
      <w:r>
        <w:rPr/>
        <w:t xml:space="preserve">Предусмотреть оборудование и мебель для служебно-бытовых помещений исходя из штатного расписания. </w:t>
      </w:r>
    </w:p>
    <w:p>
      <w:pPr>
        <w:pStyle w:val="Normal"/>
        <w:rPr/>
      </w:pPr>
      <w:r>
        <w:rPr/>
        <w:t xml:space="preserve">– </w:t>
      </w:r>
      <w:r>
        <w:rPr/>
        <w:t>помещение для хранения документации;</w:t>
      </w:r>
    </w:p>
    <w:p>
      <w:pPr>
        <w:pStyle w:val="Normal"/>
        <w:rPr/>
      </w:pPr>
      <w:r>
        <w:rPr/>
        <w:t xml:space="preserve">– </w:t>
      </w:r>
      <w:r>
        <w:rPr/>
        <w:t>комната персонала с местом для приема пищи;</w:t>
      </w:r>
    </w:p>
    <w:p>
      <w:pPr>
        <w:pStyle w:val="Normal"/>
        <w:rPr/>
      </w:pPr>
      <w:r>
        <w:rPr/>
        <w:t xml:space="preserve">– </w:t>
      </w:r>
      <w:r>
        <w:rPr/>
        <w:t>доготовочный цех;</w:t>
      </w:r>
    </w:p>
    <w:p>
      <w:pPr>
        <w:pStyle w:val="Normal"/>
        <w:rPr/>
      </w:pPr>
      <w:r>
        <w:rPr/>
        <w:t xml:space="preserve">– </w:t>
      </w:r>
      <w:r>
        <w:rPr/>
        <w:t>кладовая отходов;</w:t>
      </w:r>
    </w:p>
    <w:p>
      <w:pPr>
        <w:pStyle w:val="Normal"/>
        <w:rPr/>
      </w:pPr>
      <w:r>
        <w:rPr/>
        <w:t xml:space="preserve">– </w:t>
      </w:r>
      <w:r>
        <w:rPr/>
        <w:t>кладовая (холодильная камера);</w:t>
      </w:r>
    </w:p>
    <w:p>
      <w:pPr>
        <w:pStyle w:val="Normal"/>
        <w:rPr/>
      </w:pPr>
      <w:r>
        <w:rPr/>
        <w:t xml:space="preserve">– </w:t>
      </w:r>
      <w:r>
        <w:rPr/>
        <w:t>помещение мойки посуды</w:t>
        <w:tab/>
        <w:t>;</w:t>
      </w:r>
    </w:p>
    <w:p>
      <w:pPr>
        <w:pStyle w:val="Normal"/>
        <w:rPr/>
      </w:pPr>
      <w:r>
        <w:rPr/>
        <w:t xml:space="preserve">– </w:t>
      </w:r>
      <w:r>
        <w:rPr/>
        <w:t>зал с раздаточной на 16 посадочных мест;</w:t>
      </w:r>
    </w:p>
    <w:p>
      <w:pPr>
        <w:pStyle w:val="Normal"/>
        <w:rPr/>
      </w:pPr>
      <w:r>
        <w:rPr/>
        <w:t xml:space="preserve">– </w:t>
      </w:r>
      <w:r>
        <w:rPr/>
        <w:t>гардероб верхней одежды;</w:t>
      </w:r>
    </w:p>
    <w:p>
      <w:pPr>
        <w:pStyle w:val="Normal"/>
        <w:rPr/>
      </w:pPr>
      <w:r>
        <w:rPr/>
        <w:t xml:space="preserve">– </w:t>
      </w:r>
      <w:r>
        <w:rPr/>
        <w:t>санузел;</w:t>
      </w:r>
    </w:p>
    <w:p>
      <w:pPr>
        <w:pStyle w:val="Normal"/>
        <w:rPr/>
      </w:pPr>
      <w:r>
        <w:rPr/>
        <w:t xml:space="preserve">– </w:t>
      </w:r>
      <w:r>
        <w:rPr/>
        <w:t>ПУИ;</w:t>
      </w:r>
    </w:p>
    <w:p>
      <w:pPr>
        <w:pStyle w:val="Normal"/>
        <w:rPr/>
      </w:pPr>
      <w:r>
        <w:rPr/>
        <w:t xml:space="preserve">– </w:t>
      </w:r>
      <w:r>
        <w:rPr/>
        <w:t>помещение обеспыливания;</w:t>
      </w:r>
    </w:p>
    <w:p>
      <w:pPr>
        <w:pStyle w:val="Normal"/>
        <w:rPr/>
      </w:pPr>
      <w:r>
        <w:rPr/>
        <w:t xml:space="preserve">– </w:t>
      </w:r>
      <w:r>
        <w:rPr/>
        <w:t>гардеробы, помещение сушки одежды, кладовая чистой спецодежды, кладовая грязной спецодежды;</w:t>
      </w:r>
    </w:p>
    <w:p>
      <w:pPr>
        <w:pStyle w:val="Normal"/>
        <w:rPr>
          <w:b/>
        </w:rPr>
      </w:pPr>
      <w:r>
        <w:rPr>
          <w:b/>
        </w:rPr>
        <w:t>Помещения на втором этаже</w:t>
      </w:r>
    </w:p>
    <w:p>
      <w:pPr>
        <w:pStyle w:val="Normal"/>
        <w:rPr/>
      </w:pPr>
      <w:r>
        <w:rPr/>
        <w:t>Предусмотреть оборудование и мебель для служебно-бытовых помещений исходя из штатного расписания.</w:t>
      </w:r>
    </w:p>
    <w:p>
      <w:pPr>
        <w:pStyle w:val="Normal"/>
        <w:rPr/>
      </w:pPr>
      <w:r>
        <w:rPr/>
        <w:t xml:space="preserve">– </w:t>
      </w:r>
      <w:r>
        <w:rPr/>
        <w:t xml:space="preserve">комната приема пищи, кладовая чистой спецодежды, кладовая грязной спецодежды, гардеробы, кабинеты. </w:t>
      </w:r>
    </w:p>
    <w:p>
      <w:pPr>
        <w:pStyle w:val="Normal"/>
        <w:rPr/>
      </w:pPr>
      <w:r>
        <w:rPr/>
        <w:t xml:space="preserve">– </w:t>
      </w:r>
      <w:r>
        <w:rPr/>
        <w:t>помещения для хранения документаций;</w:t>
      </w:r>
    </w:p>
    <w:p>
      <w:pPr>
        <w:pStyle w:val="Normal"/>
        <w:rPr/>
      </w:pPr>
      <w:r>
        <w:rPr/>
        <w:t xml:space="preserve">– </w:t>
      </w:r>
      <w:r>
        <w:rPr/>
        <w:t>санитарно-бытовые помещения.</w:t>
      </w:r>
    </w:p>
    <w:p>
      <w:pPr>
        <w:pStyle w:val="Normal"/>
        <w:rPr/>
      </w:pPr>
      <w:r>
        <w:rPr/>
        <w:t>Сделать расчет категорий помещений по взрывопожарной и пожарной опасности для производственных объектов, складов, кладовых, определить необходимые меры пожарной защиты. При категорировании анализируют технологические и производственные процессы, параметры планировочных решений, виды и количество материалов с горючими свойствами. Категорию и класс помещений по взрывопожарной и пожарной опасности определяют по нормам Федерального закона № 123-ФЗ в актуальной редакции (с изменениями от 31.07.2025 № 304-ФЗ) и СП 12.13130.2009.</w:t>
      </w:r>
    </w:p>
    <w:p>
      <w:pPr>
        <w:pStyle w:val="Normal"/>
        <w:rPr/>
      </w:pPr>
      <w:r>
        <w:rPr/>
        <w:t>Т.е. категории помещений определяются исходя из вида находящихся в них горючих веществ и материалов, их количества и пожароопасных свойств, а также объёмно-планировочных решений помещений и характеристик проводимых в них технологических процессов.</w:t>
      </w:r>
    </w:p>
    <w:p>
      <w:pPr>
        <w:pStyle w:val="Heading1"/>
        <w:rPr/>
      </w:pPr>
      <w:bookmarkStart w:id="41" w:name="_Toc209515832"/>
      <w:bookmarkStart w:id="42" w:name="_Toc229476903"/>
      <w:r>
        <w:rPr/>
        <w:t>Требования к разработке ЦИМ</w:t>
      </w:r>
      <w:bookmarkEnd w:id="41"/>
      <w:bookmarkEnd w:id="42"/>
    </w:p>
    <w:p>
      <w:pPr>
        <w:pStyle w:val="Normal"/>
        <w:rPr/>
      </w:pPr>
      <w:r>
        <w:rPr/>
        <w:t xml:space="preserve">Для разработки ЦИМ ОКС предусмотрено использование </w:t>
      </w:r>
      <w:r>
        <w:rPr>
          <w:lang w:val="en-US"/>
        </w:rPr>
        <w:t>CADLib</w:t>
      </w:r>
      <w:r>
        <w:rPr/>
        <w:t xml:space="preserve"> Модель и Архив и </w:t>
      </w:r>
      <w:r>
        <w:rPr>
          <w:lang w:val="en-US"/>
        </w:rPr>
        <w:t>Model</w:t>
      </w:r>
      <w:r>
        <w:rPr/>
        <w:t xml:space="preserve"> </w:t>
      </w:r>
      <w:r>
        <w:rPr>
          <w:lang w:val="en-US"/>
        </w:rPr>
        <w:t>Studio</w:t>
      </w:r>
      <w:r>
        <w:rPr/>
        <w:t xml:space="preserve"> </w:t>
      </w:r>
      <w:r>
        <w:rPr>
          <w:lang w:val="en-US"/>
        </w:rPr>
        <w:t>CS</w:t>
      </w:r>
      <w:r>
        <w:rPr/>
        <w:t>. Допускается разработка плагинов и скриптов к вышеуказанному ПО для оптимизации процесса прямого 3</w:t>
      </w:r>
      <w:r>
        <w:rPr>
          <w:lang w:val="en-US"/>
        </w:rPr>
        <w:t>D</w:t>
      </w:r>
      <w:r>
        <w:rPr/>
        <w:t xml:space="preserve"> проектирования.</w:t>
      </w:r>
    </w:p>
    <w:p>
      <w:pPr>
        <w:pStyle w:val="Normal"/>
        <w:rPr/>
      </w:pPr>
      <w:r>
        <w:rPr/>
        <w:t>ЦИМ ОКС разрабатывается для выявления и исключения междисциплинарных коллизий, выпуска проектной документации стадии РД.</w:t>
      </w:r>
    </w:p>
    <w:p>
      <w:pPr>
        <w:pStyle w:val="Normal"/>
        <w:rPr/>
      </w:pPr>
      <w:r>
        <w:rPr/>
        <w:t>При разработке ЦИМ руководствоваться положениями СП 333.1325800; инструкциями [ПП] И.82-2024; [ПП] И.86-2024; регламентом [ПП.ПР] Р.13-2024.</w:t>
      </w:r>
    </w:p>
    <w:p>
      <w:pPr>
        <w:pStyle w:val="Normal"/>
        <w:rPr/>
      </w:pPr>
      <w:r>
        <w:rPr/>
        <w:t xml:space="preserve">Элементы ЦИМ ОКС должны соответствовать </w:t>
      </w:r>
      <w:r>
        <w:rPr>
          <w:lang w:val="en-US"/>
        </w:rPr>
        <w:t>LOD</w:t>
      </w:r>
      <w:r>
        <w:rPr/>
        <w:t>400 согласно СП 333.1325800.</w:t>
      </w:r>
    </w:p>
    <w:p>
      <w:pPr>
        <w:pStyle w:val="Normal"/>
        <w:rPr/>
      </w:pPr>
      <w:r>
        <w:rPr/>
        <w:t>Элементарно-параметрический состав ЦИМ ОКС должен соответствовать Приложению В.</w:t>
      </w:r>
    </w:p>
    <w:p>
      <w:pPr>
        <w:pStyle w:val="Normal"/>
        <w:rPr/>
      </w:pPr>
      <w:r>
        <w:rPr/>
        <w:t>В результате разработки ЦИМ ОКС необходимо предоставить:</w:t>
      </w:r>
    </w:p>
    <w:p>
      <w:pPr>
        <w:pStyle w:val="ListParagraph"/>
        <w:numPr>
          <w:ilvl w:val="0"/>
          <w:numId w:val="3"/>
        </w:numPr>
        <w:rPr/>
      </w:pPr>
      <w:r>
        <w:rPr/>
        <w:t xml:space="preserve">ЦИМ ОКС в формате </w:t>
      </w:r>
      <w:r>
        <w:rPr>
          <w:lang w:val="en-US"/>
        </w:rPr>
        <w:t>IFC</w:t>
      </w:r>
      <w:r>
        <w:rPr/>
        <w:t>;</w:t>
      </w:r>
    </w:p>
    <w:p>
      <w:pPr>
        <w:pStyle w:val="ListParagraph"/>
        <w:numPr>
          <w:ilvl w:val="0"/>
          <w:numId w:val="3"/>
        </w:numPr>
        <w:rPr/>
      </w:pPr>
      <w:r>
        <w:rPr/>
        <w:t>Отчет о проверке на коллизии;</w:t>
      </w:r>
    </w:p>
    <w:p>
      <w:pPr>
        <w:pStyle w:val="ListParagraph"/>
        <w:numPr>
          <w:ilvl w:val="0"/>
          <w:numId w:val="3"/>
        </w:numPr>
        <w:rPr/>
      </w:pPr>
      <w:r>
        <w:rPr/>
        <w:t>Отчет о соответствии параметрического состава элементов;</w:t>
      </w:r>
    </w:p>
    <w:p>
      <w:pPr>
        <w:pStyle w:val="ListParagraph"/>
        <w:numPr>
          <w:ilvl w:val="0"/>
          <w:numId w:val="3"/>
        </w:numPr>
        <w:rPr/>
      </w:pPr>
      <w:r>
        <w:rPr/>
        <w:t xml:space="preserve">Проектная документация в формате </w:t>
      </w:r>
      <w:r>
        <w:rPr>
          <w:lang w:val="en-US"/>
        </w:rPr>
        <w:t>PDF</w:t>
      </w:r>
      <w:r>
        <w:rPr/>
        <w:t>.</w:t>
      </w:r>
    </w:p>
    <w:p>
      <w:pPr>
        <w:pStyle w:val="Normal"/>
        <w:rPr/>
      </w:pPr>
      <w:r>
        <w:rPr/>
      </w:r>
    </w:p>
    <w:p>
      <w:pPr>
        <w:pStyle w:val="Heading1"/>
        <w:rPr/>
      </w:pPr>
      <w:bookmarkStart w:id="43" w:name="_Toc229476904"/>
      <w:bookmarkStart w:id="44" w:name="_Toc209515835"/>
      <w:r>
        <w:rPr/>
        <w:t>Консультации</w:t>
      </w:r>
      <w:bookmarkEnd w:id="43"/>
      <w:bookmarkEnd w:id="44"/>
    </w:p>
    <w:p>
      <w:pPr>
        <w:pStyle w:val="Normal"/>
        <w:rPr/>
      </w:pPr>
      <w:r>
        <w:rPr/>
        <w:t>В рамках выполнения настоящего проекта предусмотрен ряд консультаций проектной команды со специалистами ООО «Газпром проектирование». Каждая консультация проводится в установленный срок и к данному сроку должен быть выполнен определенный объем проекта. Объемы разбиты таким образом, чтобы все члены проектной команды могли планомерно выполнить свои разделы, с учетом зависимости друг от друга.</w:t>
      </w:r>
    </w:p>
    <w:p>
      <w:pPr>
        <w:pStyle w:val="Heading1"/>
        <w:rPr/>
      </w:pPr>
      <w:bookmarkStart w:id="45" w:name="_Toc229476905"/>
      <w:bookmarkStart w:id="46" w:name="_Toc209515840"/>
      <w:r>
        <w:rPr/>
        <w:t>Рекомендации по организации проектирования</w:t>
      </w:r>
      <w:bookmarkEnd w:id="45"/>
      <w:bookmarkEnd w:id="46"/>
    </w:p>
    <w:p>
      <w:pPr>
        <w:pStyle w:val="Normal"/>
        <w:rPr/>
      </w:pPr>
      <w:r>
        <w:rPr/>
        <w:t>До начала реализации проекта настоятельно рекомендуется разработать план выполнения проекта.</w:t>
      </w:r>
    </w:p>
    <w:p>
      <w:pPr>
        <w:pStyle w:val="Normal"/>
        <w:rPr/>
      </w:pPr>
      <w:r>
        <w:rPr/>
        <w:t>Основные вехи выполнения проекта соответствуют консультациям по специальностям. К этим вехам привязан объем работ, который должен быть выполнен. Между этими вехами проектной группе необходимо разработать план работ с указанием кто, когда, кому и что должен передать, для того чтобы выполнить необходимый объем работ к указанной дате.</w:t>
      </w:r>
    </w:p>
    <w:p>
      <w:pPr>
        <w:pStyle w:val="Normal"/>
        <w:rPr/>
      </w:pPr>
      <w:r>
        <w:rPr/>
        <w:t>Процесс проектирования в крупной компании построен на системе менеджмента качества, в рамках которой описаны все бизнес-процессы, а также обеспечена прозрачность и контролируемость этих процессов.</w:t>
      </w:r>
    </w:p>
    <w:p>
      <w:pPr>
        <w:pStyle w:val="Normal"/>
        <w:rPr/>
      </w:pPr>
      <w:r>
        <w:rPr/>
        <w:t>Каждое подразделение (специальность) осуществляет взаимодействие со смежным подразделением посредством передачи задания. В задании указаны требования, которые необходимо выполнить. Например, архитектор, разработав архитектурный промежуток (первичный план здания), передает его смежным специалистам, указывая на нем все необходимые данные, или, например, специалист по вентиляции после прокладки воздуховодов выдает задание конструктору, в котором указывает, что ему требуется подвесить воздуховод в конкретных местах, а также соответствующую нагрузку от воздуховода, которую необходимо учесть в расчете конструкций.</w:t>
      </w:r>
    </w:p>
    <w:p>
      <w:pPr>
        <w:pStyle w:val="Normal"/>
        <w:rPr/>
      </w:pPr>
      <w:r>
        <w:rPr/>
        <w:t>Таким образом, проектной команде необходимо начать с построения плана взаимодействия друг с другом, с учетом требований по специальностям, определить объем информации, которую необходимо передать смежным специальностям, определить необходимое время для реализации того или иного этапа. При разработке плана и его выполнении проектной команде следует сконцентрироваться не на «я не могу это сделать, мне не дали исходные данные», а на «как мне это сделать, с учетом, недостаточности исходных данных». В реальных проектах всегда не хватает исходных данных.</w:t>
      </w:r>
    </w:p>
    <w:p>
      <w:pPr>
        <w:pStyle w:val="Title"/>
        <w:rPr>
          <w:b w:val="false"/>
        </w:rPr>
      </w:pPr>
      <w:bookmarkStart w:id="47" w:name="_Toc229476906"/>
      <w:bookmarkStart w:id="48" w:name="_Toc209515841"/>
      <w:bookmarkStart w:id="49" w:name="Изыскания"/>
      <w:r>
        <w:rPr/>
        <w:t>Приложение А</w:t>
      </w:r>
      <w:bookmarkEnd w:id="49"/>
      <w:r>
        <w:rPr/>
        <w:br/>
        <w:t>Материалы инженерных изысканий</w:t>
      </w:r>
      <w:bookmarkEnd w:id="47"/>
      <w:bookmarkEnd w:id="48"/>
    </w:p>
    <w:p>
      <w:pPr>
        <w:pStyle w:val="Normal"/>
        <w:rPr>
          <w:u w:val="single"/>
        </w:rPr>
      </w:pPr>
      <w:r>
        <w:rPr>
          <w:u w:val="single"/>
        </w:rPr>
        <w:t>Приложение предоставляется на момент начала работы над проектом.</w:t>
      </w:r>
    </w:p>
    <w:p>
      <w:pPr>
        <w:pStyle w:val="Title"/>
        <w:rPr/>
      </w:pPr>
      <w:bookmarkStart w:id="50" w:name="_Toc229476907"/>
      <w:bookmarkStart w:id="51" w:name="_Toc209515842"/>
      <w:bookmarkStart w:id="52" w:name="Архитектурный_промежуток"/>
      <w:r>
        <w:rPr/>
        <w:t>Приложение Б</w:t>
      </w:r>
      <w:bookmarkEnd w:id="52"/>
      <w:r>
        <w:rPr/>
        <w:br/>
        <w:t>Архитектурный промежуток</w:t>
      </w:r>
      <w:bookmarkEnd w:id="50"/>
      <w:bookmarkEnd w:id="51"/>
    </w:p>
    <w:p>
      <w:pPr>
        <w:pStyle w:val="Style30"/>
        <w:keepNext w:val="true"/>
        <w:rPr/>
      </w:pPr>
      <w:r>
        <w:rPr/>
        <mc:AlternateContent>
          <mc:Choice Requires="wps">
            <w:drawing>
              <wp:inline distT="0" distB="0" distL="0" distR="0">
                <wp:extent cx="6114415" cy="3244215"/>
                <wp:effectExtent l="0" t="0" r="0" b="0"/>
                <wp:docPr id="2" name=""/>
                <a:graphic xmlns:a="http://schemas.openxmlformats.org/drawingml/2006/main">
                  <a:graphicData uri="http://schemas.openxmlformats.org/drawingml/2006/picture">
                    <pic:pic xmlns:pic="http://schemas.openxmlformats.org/drawingml/2006/picture">
                      <pic:nvPicPr>
                        <pic:cNvPr id="3" name=""/>
                        <pic:cNvPicPr/>
                      </pic:nvPicPr>
                      <pic:blipFill>
                        <a:blip r:embed="rId3"/>
                        <a:stretch/>
                      </pic:blipFill>
                      <pic:spPr>
                        <a:xfrm>
                          <a:off x="0" y="0"/>
                          <a:ext cx="6114240" cy="3244320"/>
                        </a:xfrm>
                        <a:prstGeom prst="rect">
                          <a:avLst/>
                        </a:prstGeom>
                        <a:noFill/>
                        <a:ln w="0">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stroked="f" o:allowincell="f" style="position:absolute;margin-left:0pt;margin-top:-255.5pt;width:481.4pt;height:255.4pt;mso-wrap-style:none;v-text-anchor:middle;mso-position-vertical:top" type="_x0000_t75">
                <v:imagedata r:id="rId4" o:detectmouseclick="t"/>
                <v:stroke color="#3465a4" joinstyle="round" endcap="flat"/>
                <w10:wrap type="none"/>
              </v:shape>
            </w:pict>
          </mc:Fallback>
        </mc:AlternateContent>
      </w:r>
    </w:p>
    <w:p>
      <w:pPr>
        <w:pStyle w:val="Style30"/>
        <w:rPr/>
      </w:pPr>
      <w:r>
        <w:rPr/>
        <w:t xml:space="preserve">Рисунок </w:t>
      </w:r>
      <w:r>
        <w:rPr/>
        <w:fldChar w:fldCharType="begin"/>
      </w:r>
      <w:r>
        <w:rPr/>
        <w:instrText xml:space="preserve"> SEQ Рисунок \* ARABIC </w:instrText>
      </w:r>
      <w:r>
        <w:rPr/>
        <w:fldChar w:fldCharType="separate"/>
      </w:r>
      <w:r>
        <w:rPr/>
        <w:t>1</w:t>
      </w:r>
      <w:r>
        <w:rPr/>
        <w:fldChar w:fldCharType="end"/>
      </w:r>
      <w:r>
        <w:rPr/>
        <w:t xml:space="preserve"> – Представление в 3</w:t>
      </w:r>
      <w:r>
        <w:rPr>
          <w:lang w:val="en-US"/>
        </w:rPr>
        <w:t>D</w:t>
      </w:r>
    </w:p>
    <w:p>
      <w:pPr>
        <w:pStyle w:val="Style30"/>
        <w:keepNext w:val="true"/>
        <w:rPr/>
      </w:pPr>
      <w:r>
        <w:rPr/>
        <w:drawing>
          <wp:inline distT="0" distB="0" distL="0" distR="0">
            <wp:extent cx="6119495" cy="2228850"/>
            <wp:effectExtent l="0" t="0" r="0" b="0"/>
            <wp:docPr id="4" name="Рисунок 1" descr="\\spb-sfs01\Projects\AIO\_Обмен\Факультатив ГАСУ\2026\Приложение Б\План на отм.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 descr="\\spb-sfs01\Projects\AIO\_Обмен\Факультатив ГАСУ\2026\Приложение Б\План на отм.0,000.jpg"/>
                    <pic:cNvPicPr>
                      <a:picLocks noChangeAspect="1" noChangeArrowheads="1"/>
                    </pic:cNvPicPr>
                  </pic:nvPicPr>
                  <pic:blipFill>
                    <a:blip r:embed="rId5"/>
                    <a:stretch>
                      <a:fillRect/>
                    </a:stretch>
                  </pic:blipFill>
                  <pic:spPr bwMode="auto">
                    <a:xfrm>
                      <a:off x="0" y="0"/>
                      <a:ext cx="6119495" cy="2228850"/>
                    </a:xfrm>
                    <a:prstGeom prst="rect">
                      <a:avLst/>
                    </a:prstGeom>
                    <a:noFill/>
                  </pic:spPr>
                </pic:pic>
              </a:graphicData>
            </a:graphic>
          </wp:inline>
        </w:drawing>
      </w:r>
    </w:p>
    <w:p>
      <w:pPr>
        <w:pStyle w:val="Style30"/>
        <w:rPr/>
      </w:pPr>
      <w:r>
        <w:rPr/>
        <w:t xml:space="preserve">Рисунок </w:t>
      </w:r>
      <w:r>
        <w:rPr/>
        <w:fldChar w:fldCharType="begin"/>
      </w:r>
      <w:r>
        <w:rPr/>
        <w:instrText xml:space="preserve"> SEQ Рисунок \* ARABIC </w:instrText>
      </w:r>
      <w:r>
        <w:rPr/>
        <w:fldChar w:fldCharType="separate"/>
      </w:r>
      <w:r>
        <w:rPr/>
        <w:t>2</w:t>
      </w:r>
      <w:r>
        <w:rPr/>
        <w:fldChar w:fldCharType="end"/>
      </w:r>
      <w:r>
        <w:rPr/>
        <w:t xml:space="preserve"> – План на отм. 0,000</w:t>
      </w:r>
    </w:p>
    <w:p>
      <w:pPr>
        <w:pStyle w:val="Style30"/>
        <w:rPr/>
      </w:pPr>
      <w:r>
        <w:rPr/>
        <mc:AlternateContent>
          <mc:Choice Requires="wps">
            <w:drawing>
              <wp:inline distT="0" distB="0" distL="0" distR="0">
                <wp:extent cx="6114415" cy="2226310"/>
                <wp:effectExtent l="0" t="0" r="0" b="0"/>
                <wp:docPr id="5" name=""/>
                <a:graphic xmlns:a="http://schemas.openxmlformats.org/drawingml/2006/main">
                  <a:graphicData uri="http://schemas.openxmlformats.org/drawingml/2006/picture">
                    <pic:pic xmlns:pic="http://schemas.openxmlformats.org/drawingml/2006/picture">
                      <pic:nvPicPr>
                        <pic:cNvPr id="6" name=""/>
                        <pic:cNvPicPr/>
                      </pic:nvPicPr>
                      <pic:blipFill>
                        <a:blip r:embed="rId6"/>
                        <a:stretch/>
                      </pic:blipFill>
                      <pic:spPr>
                        <a:xfrm>
                          <a:off x="0" y="0"/>
                          <a:ext cx="6114240" cy="2226240"/>
                        </a:xfrm>
                        <a:prstGeom prst="rect">
                          <a:avLst/>
                        </a:prstGeom>
                        <a:noFill/>
                        <a:ln w="0">
                          <a:noFill/>
                        </a:ln>
                      </pic:spPr>
                    </pic:pic>
                  </a:graphicData>
                </a:graphic>
              </wp:inline>
            </w:drawing>
          </mc:Choice>
          <mc:Fallback>
            <w:pict>
              <v:shape id="shape_0" stroked="f" o:allowincell="f" style="position:absolute;margin-left:0pt;margin-top:-175.35pt;width:481.4pt;height:175.25pt;mso-wrap-style:none;v-text-anchor:middle;mso-position-vertical:top" type="_x0000_t75">
                <v:imagedata r:id="rId7" o:detectmouseclick="t"/>
                <v:stroke color="#3465a4" joinstyle="round" endcap="flat"/>
                <w10:wrap type="none"/>
              </v:shape>
            </w:pict>
          </mc:Fallback>
        </mc:AlternateContent>
      </w:r>
    </w:p>
    <w:p>
      <w:pPr>
        <w:pStyle w:val="Style30"/>
        <w:rPr/>
      </w:pPr>
      <w:r>
        <w:rPr/>
        <w:t xml:space="preserve">Рисунок </w:t>
      </w:r>
      <w:r>
        <w:rPr/>
        <w:fldChar w:fldCharType="begin"/>
      </w:r>
      <w:r>
        <w:rPr/>
        <w:instrText xml:space="preserve"> SEQ Рисунок \* ARABIC </w:instrText>
      </w:r>
      <w:r>
        <w:rPr/>
        <w:fldChar w:fldCharType="separate"/>
      </w:r>
      <w:r>
        <w:rPr/>
        <w:t>3</w:t>
      </w:r>
      <w:r>
        <w:rPr/>
        <w:fldChar w:fldCharType="end"/>
      </w:r>
      <w:r>
        <w:rPr/>
        <w:t xml:space="preserve"> – План на отм. плюс 4,500</w:t>
      </w:r>
    </w:p>
    <w:p>
      <w:pPr>
        <w:pStyle w:val="Style30"/>
        <w:rPr/>
      </w:pPr>
      <w:r>
        <w:rPr/>
        <mc:AlternateContent>
          <mc:Choice Requires="wps">
            <w:drawing>
              <wp:inline distT="0" distB="0" distL="0" distR="0">
                <wp:extent cx="6114415" cy="2226310"/>
                <wp:effectExtent l="0" t="0" r="0" b="0"/>
                <wp:docPr id="7" name=""/>
                <a:graphic xmlns:a="http://schemas.openxmlformats.org/drawingml/2006/main">
                  <a:graphicData uri="http://schemas.openxmlformats.org/drawingml/2006/picture">
                    <pic:pic xmlns:pic="http://schemas.openxmlformats.org/drawingml/2006/picture">
                      <pic:nvPicPr>
                        <pic:cNvPr id="8" name=""/>
                        <pic:cNvPicPr/>
                      </pic:nvPicPr>
                      <pic:blipFill>
                        <a:blip r:embed="rId8"/>
                        <a:stretch/>
                      </pic:blipFill>
                      <pic:spPr>
                        <a:xfrm>
                          <a:off x="0" y="0"/>
                          <a:ext cx="6114240" cy="2226240"/>
                        </a:xfrm>
                        <a:prstGeom prst="rect">
                          <a:avLst/>
                        </a:prstGeom>
                        <a:noFill/>
                        <a:ln w="0">
                          <a:noFill/>
                        </a:ln>
                      </pic:spPr>
                    </pic:pic>
                  </a:graphicData>
                </a:graphic>
              </wp:inline>
            </w:drawing>
          </mc:Choice>
          <mc:Fallback>
            <w:pict>
              <v:shape id="shape_0" stroked="f" o:allowincell="f" style="position:absolute;margin-left:0pt;margin-top:-175.35pt;width:481.4pt;height:175.25pt;mso-wrap-style:none;v-text-anchor:middle;mso-position-vertical:top" type="_x0000_t75">
                <v:imagedata r:id="rId9" o:detectmouseclick="t"/>
                <v:stroke color="#3465a4" joinstyle="round" endcap="flat"/>
                <w10:wrap type="none"/>
              </v:shape>
            </w:pict>
          </mc:Fallback>
        </mc:AlternateContent>
      </w:r>
    </w:p>
    <w:p>
      <w:pPr>
        <w:pStyle w:val="Style30"/>
        <w:rPr/>
      </w:pPr>
      <w:r>
        <w:rPr/>
        <w:t xml:space="preserve">Рисунок </w:t>
      </w:r>
      <w:r>
        <w:rPr/>
        <w:fldChar w:fldCharType="begin"/>
      </w:r>
      <w:r>
        <w:rPr/>
        <w:instrText xml:space="preserve"> SEQ Рисунок \* ARABIC </w:instrText>
      </w:r>
      <w:r>
        <w:rPr/>
        <w:fldChar w:fldCharType="separate"/>
      </w:r>
      <w:r>
        <w:rPr/>
        <w:t>4</w:t>
      </w:r>
      <w:r>
        <w:rPr/>
        <w:fldChar w:fldCharType="end"/>
      </w:r>
      <w:r>
        <w:rPr/>
        <w:t xml:space="preserve"> – Разрезы</w:t>
      </w:r>
    </w:p>
    <w:p>
      <w:pPr>
        <w:pStyle w:val="Title"/>
        <w:rPr/>
      </w:pPr>
      <w:bookmarkStart w:id="53" w:name="_Toc229476908"/>
      <w:r>
        <w:rPr/>
        <w:t>Приложение В</w:t>
        <w:br/>
        <w:t>Актуальный ЭПС</w:t>
      </w:r>
      <w:bookmarkEnd w:id="53"/>
    </w:p>
    <w:p>
      <w:pPr>
        <w:pStyle w:val="Normal"/>
        <w:rPr>
          <w:u w:val="single"/>
        </w:rPr>
      </w:pPr>
      <w:r>
        <w:rPr>
          <w:u w:val="single"/>
        </w:rPr>
        <w:t>Приложение предоставляется на момент начала работы над проектом.</w:t>
      </w:r>
    </w:p>
    <w:p>
      <w:pPr>
        <w:pStyle w:val="Title"/>
        <w:rPr/>
      </w:pPr>
      <w:bookmarkStart w:id="54" w:name="_Toc229476909"/>
      <w:r>
        <w:rPr/>
        <w:t>Приложение Г</w:t>
        <w:br/>
        <w:t>Генплан</w:t>
      </w:r>
      <w:bookmarkEnd w:id="54"/>
    </w:p>
    <w:p>
      <w:pPr>
        <w:pStyle w:val="Normal"/>
        <w:rPr>
          <w:u w:val="single"/>
        </w:rPr>
      </w:pPr>
      <w:r>
        <w:rPr>
          <w:u w:val="single"/>
        </w:rPr>
        <w:t>Приложение предоставляется на момент начала работы над проектом.</w:t>
      </w:r>
    </w:p>
    <w:sectPr>
      <w:headerReference w:type="even" r:id="rId10"/>
      <w:headerReference w:type="default" r:id="rId11"/>
      <w:headerReference w:type="first" r:id="rId12"/>
      <w:footerReference w:type="even" r:id="rId13"/>
      <w:footerReference w:type="default" r:id="rId14"/>
      <w:footerReference w:type="first" r:id="rId15"/>
      <w:type w:val="nextPage"/>
      <w:pgSz w:w="11906" w:h="16838"/>
      <w:pgMar w:left="1418" w:right="851" w:gutter="0" w:header="709" w:top="766" w:footer="709" w:bottom="76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Calibri">
    <w:charset w:val="cc" w:characterSet="windows-1251"/>
    <w:family w:val="roman"/>
    <w:pitch w:val="variable"/>
  </w:font>
  <w:font w:name="Times New Roman">
    <w:charset w:val="cc" w:characterSet="windows-1251"/>
    <w:family w:val="roman"/>
    <w:pitch w:val="variable"/>
  </w:font>
  <w:font w:name="Cambria">
    <w:charset w:val="cc" w:characterSet="windows-1251"/>
    <w:family w:val="roman"/>
    <w:pitch w:val="variable"/>
  </w:font>
  <w:font w:name="Tahoma">
    <w:charset w:val="cc" w:characterSet="windows-1251"/>
    <w:family w:val="swiss"/>
    <w:pitch w:val="variable"/>
  </w:font>
  <w:font w:name="TimesNewRomanPSMT">
    <w:charset w:val="cc" w:characterSet="windows-1251"/>
    <w:family w:val="roman"/>
    <w:pitch w:val="variable"/>
  </w:font>
  <w:font w:name="Liberation Sans">
    <w:altName w:val="Arial"/>
    <w:charset w:val="cc" w:characterSet="windows-1251"/>
    <w:family w:val="swiss"/>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4900" w:type="pct"/>
      <w:jc w:val="start"/>
      <w:tblInd w:w="0" w:type="dxa"/>
      <w:tblLayout w:type="fixed"/>
      <w:tblCellMar>
        <w:top w:w="0" w:type="dxa"/>
        <w:start w:w="108" w:type="dxa"/>
        <w:bottom w:w="0" w:type="dxa"/>
        <w:end w:w="108" w:type="dxa"/>
      </w:tblCellMar>
      <w:tblLook w:firstRow="1" w:noVBand="0" w:lastRow="1" w:firstColumn="1" w:lastColumn="1" w:noHBand="0" w:val="01e0"/>
    </w:tblPr>
    <w:tblGrid>
      <w:gridCol w:w="1698"/>
      <w:gridCol w:w="6501"/>
      <w:gridCol w:w="1245"/>
    </w:tblGrid>
    <w:tr>
      <w:trPr>
        <w:trHeight w:val="845" w:hRule="atLeast"/>
      </w:trPr>
      <w:tc>
        <w:tcPr>
          <w:tcW w:w="1698" w:type="dxa"/>
          <w:tcBorders>
            <w:bottom w:val="double" w:sz="4" w:space="0" w:color="000000"/>
          </w:tcBorders>
        </w:tcPr>
        <w:p>
          <w:pPr>
            <w:pStyle w:val="Style29"/>
            <w:rPr/>
          </w:pPr>
          <w:r>
            <w:rPr/>
            <w:drawing>
              <wp:inline distT="0" distB="0" distL="0" distR="0">
                <wp:extent cx="923925" cy="466725"/>
                <wp:effectExtent l="0" t="0" r="0" b="0"/>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3"/>
                        <pic:cNvPicPr>
                          <a:picLocks noChangeAspect="1" noChangeArrowheads="1"/>
                        </pic:cNvPicPr>
                      </pic:nvPicPr>
                      <pic:blipFill>
                        <a:blip r:embed="rId1"/>
                        <a:stretch>
                          <a:fillRect/>
                        </a:stretch>
                      </pic:blipFill>
                      <pic:spPr bwMode="auto">
                        <a:xfrm>
                          <a:off x="0" y="0"/>
                          <a:ext cx="923925" cy="466725"/>
                        </a:xfrm>
                        <a:prstGeom prst="rect">
                          <a:avLst/>
                        </a:prstGeom>
                        <a:noFill/>
                      </pic:spPr>
                    </pic:pic>
                  </a:graphicData>
                </a:graphic>
              </wp:inline>
            </w:drawing>
          </w:r>
        </w:p>
      </w:tc>
      <w:tc>
        <w:tcPr>
          <w:tcW w:w="6501" w:type="dxa"/>
          <w:tcBorders>
            <w:bottom w:val="double" w:sz="4" w:space="0" w:color="000000"/>
          </w:tcBorders>
          <w:vAlign w:val="bottom"/>
        </w:tcPr>
        <w:p>
          <w:pPr>
            <w:pStyle w:val="Style29"/>
            <w:rPr>
              <w:rFonts w:cs="Times New Roman"/>
              <w:sz w:val="20"/>
              <w:szCs w:val="20"/>
            </w:rPr>
          </w:pPr>
          <w:r>
            <w:rPr>
              <w:rFonts w:cs="Times New Roman"/>
              <w:sz w:val="20"/>
              <w:szCs w:val="20"/>
            </w:rPr>
            <w:t>Техническое задание на разработку проекта</w:t>
            <w:br/>
            <w:t>Здания служебно-ремонтно-эксплуатационного блока</w:t>
          </w:r>
        </w:p>
      </w:tc>
      <w:tc>
        <w:tcPr>
          <w:tcW w:w="1245" w:type="dxa"/>
          <w:tcBorders>
            <w:bottom w:val="double" w:sz="4" w:space="0" w:color="000000"/>
          </w:tcBorders>
          <w:tcMar>
            <w:start w:w="57" w:type="dxa"/>
            <w:end w:w="57" w:type="dxa"/>
          </w:tcMar>
          <w:vAlign w:val="bottom"/>
        </w:tcPr>
        <w:p>
          <w:pPr>
            <w:pStyle w:val="Style29"/>
            <w:rPr>
              <w:rFonts w:cs="Times New Roman"/>
              <w:b/>
              <w:sz w:val="20"/>
              <w:szCs w:val="20"/>
            </w:rPr>
          </w:pPr>
          <w:r>
            <w:rPr>
              <w:rStyle w:val="PageNumber"/>
              <w:rFonts w:cs="Times New Roman"/>
              <w:sz w:val="20"/>
              <w:szCs w:val="20"/>
            </w:rPr>
            <w:t xml:space="preserve">стр. </w:t>
          </w:r>
          <w:r>
            <w:rPr>
              <w:rStyle w:val="PageNumber"/>
              <w:rFonts w:cs="Times New Roman"/>
              <w:sz w:val="20"/>
              <w:szCs w:val="20"/>
            </w:rPr>
            <w:fldChar w:fldCharType="begin"/>
          </w:r>
          <w:r>
            <w:rPr>
              <w:rStyle w:val="PageNumber"/>
              <w:rFonts w:cs="Times New Roman"/>
              <w:sz w:val="20"/>
              <w:szCs w:val="20"/>
            </w:rPr>
            <w:instrText xml:space="preserve"> PAGE </w:instrText>
          </w:r>
          <w:r>
            <w:rPr>
              <w:rStyle w:val="PageNumber"/>
              <w:rFonts w:cs="Times New Roman"/>
              <w:sz w:val="20"/>
              <w:szCs w:val="20"/>
            </w:rPr>
            <w:fldChar w:fldCharType="separate"/>
          </w:r>
          <w:r>
            <w:rPr>
              <w:rStyle w:val="PageNumber"/>
              <w:rFonts w:cs="Times New Roman"/>
              <w:sz w:val="20"/>
              <w:szCs w:val="20"/>
            </w:rPr>
            <w:t>28</w:t>
          </w:r>
          <w:r>
            <w:rPr>
              <w:rStyle w:val="PageNumber"/>
              <w:rFonts w:cs="Times New Roman"/>
              <w:sz w:val="20"/>
              <w:szCs w:val="20"/>
            </w:rPr>
            <w:fldChar w:fldCharType="end"/>
          </w:r>
          <w:r>
            <w:rPr>
              <w:rStyle w:val="PageNumber"/>
              <w:rFonts w:cs="Times New Roman"/>
              <w:sz w:val="20"/>
              <w:szCs w:val="20"/>
            </w:rPr>
            <w:t xml:space="preserve"> из </w:t>
          </w:r>
          <w:r>
            <w:rPr>
              <w:rStyle w:val="PageNumber"/>
              <w:rFonts w:cs="Times New Roman"/>
              <w:sz w:val="20"/>
              <w:szCs w:val="20"/>
            </w:rPr>
            <w:fldChar w:fldCharType="begin"/>
          </w:r>
          <w:r>
            <w:rPr>
              <w:rStyle w:val="PageNumber"/>
              <w:rFonts w:cs="Times New Roman"/>
              <w:sz w:val="20"/>
              <w:szCs w:val="20"/>
            </w:rPr>
            <w:instrText xml:space="preserve"> NUMPAGES </w:instrText>
          </w:r>
          <w:r>
            <w:rPr>
              <w:rStyle w:val="PageNumber"/>
              <w:rFonts w:cs="Times New Roman"/>
              <w:sz w:val="20"/>
              <w:szCs w:val="20"/>
            </w:rPr>
            <w:fldChar w:fldCharType="separate"/>
          </w:r>
          <w:r>
            <w:rPr>
              <w:rStyle w:val="PageNumber"/>
              <w:rFonts w:cs="Times New Roman"/>
              <w:sz w:val="20"/>
              <w:szCs w:val="20"/>
            </w:rPr>
            <w:t>28</w:t>
          </w:r>
          <w:r>
            <w:rPr>
              <w:rStyle w:val="PageNumber"/>
              <w:rFonts w:cs="Times New Roman"/>
              <w:sz w:val="20"/>
              <w:szCs w:val="20"/>
            </w:rPr>
            <w:fldChar w:fldCharType="end"/>
          </w:r>
        </w:p>
      </w:tc>
    </w:tr>
  </w:tbl>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4900" w:type="pct"/>
      <w:jc w:val="start"/>
      <w:tblInd w:w="0" w:type="dxa"/>
      <w:tblLayout w:type="fixed"/>
      <w:tblCellMar>
        <w:top w:w="0" w:type="dxa"/>
        <w:start w:w="108" w:type="dxa"/>
        <w:bottom w:w="0" w:type="dxa"/>
        <w:end w:w="108" w:type="dxa"/>
      </w:tblCellMar>
      <w:tblLook w:firstRow="1" w:noVBand="0" w:lastRow="1" w:firstColumn="1" w:lastColumn="1" w:noHBand="0" w:val="01e0"/>
    </w:tblPr>
    <w:tblGrid>
      <w:gridCol w:w="1698"/>
      <w:gridCol w:w="6501"/>
      <w:gridCol w:w="1245"/>
    </w:tblGrid>
    <w:tr>
      <w:trPr>
        <w:trHeight w:val="845" w:hRule="atLeast"/>
      </w:trPr>
      <w:tc>
        <w:tcPr>
          <w:tcW w:w="1698" w:type="dxa"/>
          <w:tcBorders>
            <w:bottom w:val="double" w:sz="4" w:space="0" w:color="000000"/>
          </w:tcBorders>
        </w:tcPr>
        <w:p>
          <w:pPr>
            <w:pStyle w:val="Style29"/>
            <w:rPr/>
          </w:pPr>
          <w:r>
            <w:rPr/>
            <w:drawing>
              <wp:inline distT="0" distB="0" distL="0" distR="0">
                <wp:extent cx="923925" cy="466725"/>
                <wp:effectExtent l="0" t="0" r="0" b="0"/>
                <wp:docPr id="1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3"/>
                        <pic:cNvPicPr>
                          <a:picLocks noChangeAspect="1" noChangeArrowheads="1"/>
                        </pic:cNvPicPr>
                      </pic:nvPicPr>
                      <pic:blipFill>
                        <a:blip r:embed="rId1"/>
                        <a:stretch>
                          <a:fillRect/>
                        </a:stretch>
                      </pic:blipFill>
                      <pic:spPr bwMode="auto">
                        <a:xfrm>
                          <a:off x="0" y="0"/>
                          <a:ext cx="923925" cy="466725"/>
                        </a:xfrm>
                        <a:prstGeom prst="rect">
                          <a:avLst/>
                        </a:prstGeom>
                        <a:noFill/>
                      </pic:spPr>
                    </pic:pic>
                  </a:graphicData>
                </a:graphic>
              </wp:inline>
            </w:drawing>
          </w:r>
        </w:p>
      </w:tc>
      <w:tc>
        <w:tcPr>
          <w:tcW w:w="6501" w:type="dxa"/>
          <w:tcBorders>
            <w:bottom w:val="double" w:sz="4" w:space="0" w:color="000000"/>
          </w:tcBorders>
          <w:vAlign w:val="bottom"/>
        </w:tcPr>
        <w:p>
          <w:pPr>
            <w:pStyle w:val="Style29"/>
            <w:rPr>
              <w:rFonts w:cs="Times New Roman"/>
              <w:sz w:val="20"/>
              <w:szCs w:val="20"/>
            </w:rPr>
          </w:pPr>
          <w:r>
            <w:rPr>
              <w:rFonts w:cs="Times New Roman"/>
              <w:sz w:val="20"/>
              <w:szCs w:val="20"/>
            </w:rPr>
            <w:t>Техническое задание на разработку проекта</w:t>
            <w:br/>
            <w:t>Здания служебно-ремонтно-эксплуатационного блока</w:t>
          </w:r>
        </w:p>
      </w:tc>
      <w:tc>
        <w:tcPr>
          <w:tcW w:w="1245" w:type="dxa"/>
          <w:tcBorders>
            <w:bottom w:val="double" w:sz="4" w:space="0" w:color="000000"/>
          </w:tcBorders>
          <w:tcMar>
            <w:start w:w="57" w:type="dxa"/>
            <w:end w:w="57" w:type="dxa"/>
          </w:tcMar>
          <w:vAlign w:val="bottom"/>
        </w:tcPr>
        <w:p>
          <w:pPr>
            <w:pStyle w:val="Style29"/>
            <w:rPr>
              <w:rFonts w:cs="Times New Roman"/>
              <w:b/>
              <w:sz w:val="20"/>
              <w:szCs w:val="20"/>
            </w:rPr>
          </w:pPr>
          <w:r>
            <w:rPr>
              <w:rStyle w:val="PageNumber"/>
              <w:rFonts w:cs="Times New Roman"/>
              <w:sz w:val="20"/>
              <w:szCs w:val="20"/>
            </w:rPr>
            <w:t xml:space="preserve">стр. </w:t>
          </w:r>
          <w:r>
            <w:rPr>
              <w:rStyle w:val="PageNumber"/>
              <w:rFonts w:cs="Times New Roman"/>
              <w:sz w:val="20"/>
              <w:szCs w:val="20"/>
            </w:rPr>
            <w:fldChar w:fldCharType="begin"/>
          </w:r>
          <w:r>
            <w:rPr>
              <w:rStyle w:val="PageNumber"/>
              <w:rFonts w:cs="Times New Roman"/>
              <w:sz w:val="20"/>
              <w:szCs w:val="20"/>
            </w:rPr>
            <w:instrText xml:space="preserve"> PAGE </w:instrText>
          </w:r>
          <w:r>
            <w:rPr>
              <w:rStyle w:val="PageNumber"/>
              <w:rFonts w:cs="Times New Roman"/>
              <w:sz w:val="20"/>
              <w:szCs w:val="20"/>
            </w:rPr>
            <w:fldChar w:fldCharType="separate"/>
          </w:r>
          <w:r>
            <w:rPr>
              <w:rStyle w:val="PageNumber"/>
              <w:rFonts w:cs="Times New Roman"/>
              <w:sz w:val="20"/>
              <w:szCs w:val="20"/>
            </w:rPr>
            <w:t>28</w:t>
          </w:r>
          <w:r>
            <w:rPr>
              <w:rStyle w:val="PageNumber"/>
              <w:rFonts w:cs="Times New Roman"/>
              <w:sz w:val="20"/>
              <w:szCs w:val="20"/>
            </w:rPr>
            <w:fldChar w:fldCharType="end"/>
          </w:r>
          <w:r>
            <w:rPr>
              <w:rStyle w:val="PageNumber"/>
              <w:rFonts w:cs="Times New Roman"/>
              <w:sz w:val="20"/>
              <w:szCs w:val="20"/>
            </w:rPr>
            <w:t xml:space="preserve"> из </w:t>
          </w:r>
          <w:r>
            <w:rPr>
              <w:rStyle w:val="PageNumber"/>
              <w:rFonts w:cs="Times New Roman"/>
              <w:sz w:val="20"/>
              <w:szCs w:val="20"/>
            </w:rPr>
            <w:fldChar w:fldCharType="begin"/>
          </w:r>
          <w:r>
            <w:rPr>
              <w:rStyle w:val="PageNumber"/>
              <w:rFonts w:cs="Times New Roman"/>
              <w:sz w:val="20"/>
              <w:szCs w:val="20"/>
            </w:rPr>
            <w:instrText xml:space="preserve"> NUMPAGES </w:instrText>
          </w:r>
          <w:r>
            <w:rPr>
              <w:rStyle w:val="PageNumber"/>
              <w:rFonts w:cs="Times New Roman"/>
              <w:sz w:val="20"/>
              <w:szCs w:val="20"/>
            </w:rPr>
            <w:fldChar w:fldCharType="separate"/>
          </w:r>
          <w:r>
            <w:rPr>
              <w:rStyle w:val="PageNumber"/>
              <w:rFonts w:cs="Times New Roman"/>
              <w:sz w:val="20"/>
              <w:szCs w:val="20"/>
            </w:rPr>
            <w:t>28</w:t>
          </w:r>
          <w:r>
            <w:rPr>
              <w:rStyle w:val="PageNumber"/>
              <w:rFonts w:cs="Times New Roman"/>
              <w:sz w:val="20"/>
              <w:szCs w:val="20"/>
            </w:rPr>
            <w:fldChar w:fldCharType="end"/>
          </w:r>
        </w:p>
      </w:tc>
    </w:tr>
  </w:tbl>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pStyle w:val="Heading1"/>
      <w:suff w:val="space"/>
      <w:lvlText w:val="%1"/>
      <w:lvlJc w:val="start"/>
      <w:pPr>
        <w:tabs>
          <w:tab w:val="num" w:pos="0"/>
        </w:tabs>
        <w:ind w:start="0" w:firstLine="709"/>
      </w:pPr>
      <w:rPr/>
    </w:lvl>
    <w:lvl w:ilvl="1">
      <w:start w:val="1"/>
      <w:numFmt w:val="decimal"/>
      <w:pStyle w:val="Heading2"/>
      <w:suff w:val="space"/>
      <w:lvlText w:val="%1.%2"/>
      <w:lvlJc w:val="start"/>
      <w:pPr>
        <w:tabs>
          <w:tab w:val="num" w:pos="0"/>
        </w:tabs>
        <w:ind w:start="0" w:firstLine="709"/>
      </w:pPr>
      <w:rPr>
        <w:rFonts w:ascii="Times New Roman" w:hAnsi="Times New Roman"/>
        <w:b/>
        <w:bCs w:val="false"/>
        <w:i w:val="false"/>
        <w:iCs w:val="false"/>
        <w:caps w:val="false"/>
        <w:smallCaps w:val="false"/>
        <w:strike w:val="false"/>
        <w:dstrike w:val="false"/>
        <w:outline w:val="false"/>
        <w:shadow w:val="false"/>
        <w:emboss w:val="false"/>
        <w:imprint w:val="false"/>
        <w:vanish w:val="false"/>
        <w:spacing w:val="0"/>
        <w:kern w:val="0"/>
        <w:position w:val="0"/>
        <w:sz w:val="22"/>
        <w:u w:val="none"/>
        <w:effect w:val="none"/>
        <w:vertAlign w:val="baseline"/>
        <w:em w:val="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cntxtAlts/>
        </w14:cntxtAlts>
      </w:rPr>
    </w:lvl>
    <w:lvl w:ilvl="2">
      <w:start w:val="1"/>
      <w:numFmt w:val="decimal"/>
      <w:pStyle w:val="Heading3"/>
      <w:lvlText w:val="%1.%2.%3"/>
      <w:lvlJc w:val="start"/>
      <w:pPr>
        <w:tabs>
          <w:tab w:val="num" w:pos="5670"/>
        </w:tabs>
        <w:ind w:start="0" w:firstLine="709"/>
      </w:pPr>
      <w:rPr/>
    </w:lvl>
    <w:lvl w:ilvl="3">
      <w:start w:val="1"/>
      <w:numFmt w:val="decimal"/>
      <w:pStyle w:val="Heading4"/>
      <w:lvlText w:val="%1.%2.%3.%4"/>
      <w:lvlJc w:val="start"/>
      <w:pPr>
        <w:tabs>
          <w:tab w:val="num" w:pos="5670"/>
        </w:tabs>
        <w:ind w:start="0" w:firstLine="709"/>
      </w:pPr>
      <w:rPr/>
    </w:lvl>
    <w:lvl w:ilvl="4">
      <w:start w:val="1"/>
      <w:numFmt w:val="decimal"/>
      <w:pStyle w:val="Heading5"/>
      <w:lvlText w:val="%1.%2.%3.%4.%5"/>
      <w:lvlJc w:val="start"/>
      <w:pPr>
        <w:tabs>
          <w:tab w:val="num" w:pos="5670"/>
        </w:tabs>
        <w:ind w:start="0" w:firstLine="709"/>
      </w:pPr>
      <w:rPr/>
    </w:lvl>
    <w:lvl w:ilvl="5">
      <w:start w:val="1"/>
      <w:numFmt w:val="decimal"/>
      <w:pStyle w:val="Heading6"/>
      <w:lvlText w:val="%1.%2.%3.%4.%5.%6"/>
      <w:lvlJc w:val="start"/>
      <w:pPr>
        <w:tabs>
          <w:tab w:val="num" w:pos="5670"/>
        </w:tabs>
        <w:ind w:start="0" w:firstLine="709"/>
      </w:pPr>
      <w:rPr/>
    </w:lvl>
    <w:lvl w:ilvl="6">
      <w:start w:val="1"/>
      <w:numFmt w:val="decimal"/>
      <w:pStyle w:val="Heading7"/>
      <w:lvlText w:val="%1.%2.%3.%4.%5.%6.%7"/>
      <w:lvlJc w:val="start"/>
      <w:pPr>
        <w:tabs>
          <w:tab w:val="num" w:pos="5670"/>
        </w:tabs>
        <w:ind w:start="0" w:firstLine="709"/>
      </w:pPr>
      <w:rPr/>
    </w:lvl>
    <w:lvl w:ilvl="7">
      <w:start w:val="1"/>
      <w:numFmt w:val="decimal"/>
      <w:pStyle w:val="Heading8"/>
      <w:lvlText w:val="%1.%2.%3.%4.%5.%6.%7.%8"/>
      <w:lvlJc w:val="start"/>
      <w:pPr>
        <w:tabs>
          <w:tab w:val="num" w:pos="5670"/>
        </w:tabs>
        <w:ind w:start="0" w:firstLine="709"/>
      </w:pPr>
      <w:rPr/>
    </w:lvl>
    <w:lvl w:ilvl="8">
      <w:start w:val="1"/>
      <w:numFmt w:val="decimal"/>
      <w:pStyle w:val="Heading9"/>
      <w:lvlText w:val="%1.%2.%3.%4.%5.%6.%7.%8.%9"/>
      <w:lvlJc w:val="start"/>
      <w:pPr>
        <w:tabs>
          <w:tab w:val="num" w:pos="5670"/>
        </w:tabs>
        <w:ind w:start="0" w:firstLine="709"/>
      </w:pPr>
      <w:rPr/>
    </w:lvl>
  </w:abstractNum>
  <w:abstractNum w:abstractNumId="2">
    <w:lvl w:ilvl="0">
      <w:start w:val="1"/>
      <w:numFmt w:val="decimal"/>
      <w:suff w:val="space"/>
      <w:lvlText w:val="%1"/>
      <w:lvlJc w:val="start"/>
      <w:pPr>
        <w:tabs>
          <w:tab w:val="num" w:pos="0"/>
        </w:tabs>
        <w:ind w:start="0" w:firstLine="709"/>
      </w:pPr>
      <w:rPr/>
    </w:lvl>
    <w:lvl w:ilvl="1">
      <w:start w:val="1"/>
      <w:numFmt w:val="lowerLetter"/>
      <w:lvlText w:val="%2)"/>
      <w:lvlJc w:val="start"/>
      <w:pPr>
        <w:tabs>
          <w:tab w:val="num" w:pos="709"/>
        </w:tabs>
        <w:ind w:start="0" w:firstLine="709"/>
      </w:pPr>
      <w:rPr/>
    </w:lvl>
    <w:lvl w:ilvl="2">
      <w:start w:val="1"/>
      <w:numFmt w:val="lowerRoman"/>
      <w:lvlText w:val="%3)"/>
      <w:lvlJc w:val="start"/>
      <w:pPr>
        <w:tabs>
          <w:tab w:val="num" w:pos="709"/>
        </w:tabs>
        <w:ind w:start="0" w:firstLine="709"/>
      </w:pPr>
      <w:rPr/>
    </w:lvl>
    <w:lvl w:ilvl="3">
      <w:start w:val="1"/>
      <w:numFmt w:val="decimal"/>
      <w:lvlText w:val="(%4)"/>
      <w:lvlJc w:val="start"/>
      <w:pPr>
        <w:tabs>
          <w:tab w:val="num" w:pos="709"/>
        </w:tabs>
        <w:ind w:start="0" w:firstLine="709"/>
      </w:pPr>
      <w:rPr/>
    </w:lvl>
    <w:lvl w:ilvl="4">
      <w:start w:val="1"/>
      <w:numFmt w:val="lowerLetter"/>
      <w:lvlText w:val="(%5)"/>
      <w:lvlJc w:val="start"/>
      <w:pPr>
        <w:tabs>
          <w:tab w:val="num" w:pos="709"/>
        </w:tabs>
        <w:ind w:start="0" w:firstLine="709"/>
      </w:pPr>
      <w:rPr/>
    </w:lvl>
    <w:lvl w:ilvl="5">
      <w:start w:val="1"/>
      <w:numFmt w:val="lowerRoman"/>
      <w:lvlText w:val="(%6)"/>
      <w:lvlJc w:val="start"/>
      <w:pPr>
        <w:tabs>
          <w:tab w:val="num" w:pos="709"/>
        </w:tabs>
        <w:ind w:start="0" w:firstLine="709"/>
      </w:pPr>
      <w:rPr/>
    </w:lvl>
    <w:lvl w:ilvl="6">
      <w:start w:val="1"/>
      <w:numFmt w:val="decimal"/>
      <w:lvlText w:val="%7."/>
      <w:lvlJc w:val="start"/>
      <w:pPr>
        <w:tabs>
          <w:tab w:val="num" w:pos="709"/>
        </w:tabs>
        <w:ind w:start="0" w:firstLine="709"/>
      </w:pPr>
      <w:rPr/>
    </w:lvl>
    <w:lvl w:ilvl="7">
      <w:start w:val="1"/>
      <w:numFmt w:val="lowerLetter"/>
      <w:lvlText w:val="%8."/>
      <w:lvlJc w:val="start"/>
      <w:pPr>
        <w:tabs>
          <w:tab w:val="num" w:pos="709"/>
        </w:tabs>
        <w:ind w:start="0" w:firstLine="709"/>
      </w:pPr>
      <w:rPr/>
    </w:lvl>
    <w:lvl w:ilvl="8">
      <w:start w:val="1"/>
      <w:numFmt w:val="lowerRoman"/>
      <w:lvlText w:val="%9."/>
      <w:lvlJc w:val="start"/>
      <w:pPr>
        <w:tabs>
          <w:tab w:val="num" w:pos="709"/>
        </w:tabs>
        <w:ind w:start="0" w:firstLine="709"/>
      </w:pPr>
      <w:rPr/>
    </w:lvl>
  </w:abstractNum>
  <w:abstractNum w:abstractNumId="3">
    <w:lvl w:ilvl="0">
      <w:start w:val="1"/>
      <w:numFmt w:val="bullet"/>
      <w:suff w:val="space"/>
      <w:lvlText w:val=""/>
      <w:lvlJc w:val="start"/>
      <w:pPr>
        <w:tabs>
          <w:tab w:val="num" w:pos="0"/>
        </w:tabs>
        <w:ind w:start="0" w:firstLine="709"/>
      </w:pPr>
      <w:rPr>
        <w:rFonts w:ascii="Symbol" w:hAnsi="Symbol" w:cs="Symbol" w:hint="default"/>
      </w:rPr>
    </w:lvl>
    <w:lvl w:ilvl="1">
      <w:start w:val="1"/>
      <w:numFmt w:val="bullet"/>
      <w:lvlText w:val="o"/>
      <w:lvlJc w:val="start"/>
      <w:pPr>
        <w:tabs>
          <w:tab w:val="num" w:pos="3402"/>
        </w:tabs>
        <w:ind w:start="0" w:firstLine="709"/>
      </w:pPr>
      <w:rPr>
        <w:rFonts w:ascii="Courier New" w:hAnsi="Courier New" w:cs="Courier New" w:hint="default"/>
      </w:rPr>
    </w:lvl>
    <w:lvl w:ilvl="2">
      <w:start w:val="1"/>
      <w:numFmt w:val="bullet"/>
      <w:lvlText w:val=""/>
      <w:lvlJc w:val="start"/>
      <w:pPr>
        <w:tabs>
          <w:tab w:val="num" w:pos="3402"/>
        </w:tabs>
        <w:ind w:start="0" w:firstLine="709"/>
      </w:pPr>
      <w:rPr>
        <w:rFonts w:ascii="Symbol" w:hAnsi="Symbol" w:cs="Symbol" w:hint="default"/>
      </w:rPr>
    </w:lvl>
    <w:lvl w:ilvl="3">
      <w:start w:val="1"/>
      <w:numFmt w:val="bullet"/>
      <w:lvlText w:val=""/>
      <w:lvlJc w:val="start"/>
      <w:pPr>
        <w:tabs>
          <w:tab w:val="num" w:pos="3402"/>
        </w:tabs>
        <w:ind w:start="0" w:firstLine="709"/>
      </w:pPr>
      <w:rPr>
        <w:rFonts w:ascii="Symbol" w:hAnsi="Symbol" w:cs="Symbol" w:hint="default"/>
      </w:rPr>
    </w:lvl>
    <w:lvl w:ilvl="4">
      <w:start w:val="1"/>
      <w:numFmt w:val="bullet"/>
      <w:lvlText w:val="o"/>
      <w:lvlJc w:val="start"/>
      <w:pPr>
        <w:tabs>
          <w:tab w:val="num" w:pos="3402"/>
        </w:tabs>
        <w:ind w:start="0" w:firstLine="709"/>
      </w:pPr>
      <w:rPr>
        <w:rFonts w:ascii="Courier New" w:hAnsi="Courier New" w:cs="Courier New" w:hint="default"/>
      </w:rPr>
    </w:lvl>
    <w:lvl w:ilvl="5">
      <w:start w:val="1"/>
      <w:numFmt w:val="bullet"/>
      <w:lvlText w:val=""/>
      <w:lvlJc w:val="start"/>
      <w:pPr>
        <w:tabs>
          <w:tab w:val="num" w:pos="3402"/>
        </w:tabs>
        <w:ind w:start="0" w:firstLine="709"/>
      </w:pPr>
      <w:rPr>
        <w:rFonts w:ascii="Wingdings" w:hAnsi="Wingdings" w:cs="Wingdings" w:hint="default"/>
      </w:rPr>
    </w:lvl>
    <w:lvl w:ilvl="6">
      <w:start w:val="1"/>
      <w:numFmt w:val="bullet"/>
      <w:lvlText w:val=""/>
      <w:lvlJc w:val="start"/>
      <w:pPr>
        <w:tabs>
          <w:tab w:val="num" w:pos="3402"/>
        </w:tabs>
        <w:ind w:start="0" w:firstLine="709"/>
      </w:pPr>
      <w:rPr>
        <w:rFonts w:ascii="Symbol" w:hAnsi="Symbol" w:cs="Symbol" w:hint="default"/>
      </w:rPr>
    </w:lvl>
    <w:lvl w:ilvl="7">
      <w:start w:val="1"/>
      <w:numFmt w:val="bullet"/>
      <w:lvlText w:val="o"/>
      <w:lvlJc w:val="start"/>
      <w:pPr>
        <w:tabs>
          <w:tab w:val="num" w:pos="3402"/>
        </w:tabs>
        <w:ind w:start="0" w:firstLine="709"/>
      </w:pPr>
      <w:rPr>
        <w:rFonts w:ascii="Courier New" w:hAnsi="Courier New" w:cs="Courier New" w:hint="default"/>
      </w:rPr>
    </w:lvl>
    <w:lvl w:ilvl="8">
      <w:start w:val="1"/>
      <w:numFmt w:val="bullet"/>
      <w:lvlText w:val=""/>
      <w:lvlJc w:val="start"/>
      <w:pPr>
        <w:tabs>
          <w:tab w:val="num" w:pos="3402"/>
        </w:tabs>
        <w:ind w:start="0" w:firstLine="709"/>
      </w:pPr>
      <w:rPr>
        <w:rFonts w:ascii="Wingdings" w:hAnsi="Wingdings" w:cs="Wingdings" w:hint="default"/>
      </w:rPr>
    </w:lvl>
  </w:abstractNum>
  <w:abstractNum w:abstractNumId="4">
    <w:lvl w:ilvl="0">
      <w:start w:val="1"/>
      <w:numFmt w:val="bullet"/>
      <w:suff w:val="space"/>
      <w:lvlText w:val=""/>
      <w:lvlJc w:val="start"/>
      <w:pPr>
        <w:tabs>
          <w:tab w:val="num" w:pos="0"/>
        </w:tabs>
        <w:ind w:start="0" w:firstLine="709"/>
      </w:pPr>
      <w:rPr>
        <w:rFonts w:ascii="Symbol" w:hAnsi="Symbol" w:cs="Symbol" w:hint="default"/>
      </w:rPr>
    </w:lvl>
    <w:lvl w:ilvl="1">
      <w:start w:val="1"/>
      <w:numFmt w:val="bullet"/>
      <w:lvlText w:val="o"/>
      <w:lvlJc w:val="start"/>
      <w:pPr>
        <w:tabs>
          <w:tab w:val="num" w:pos="3402"/>
        </w:tabs>
        <w:ind w:start="0" w:firstLine="709"/>
      </w:pPr>
      <w:rPr>
        <w:rFonts w:ascii="Courier New" w:hAnsi="Courier New" w:cs="Courier New" w:hint="default"/>
      </w:rPr>
    </w:lvl>
    <w:lvl w:ilvl="2">
      <w:start w:val="1"/>
      <w:numFmt w:val="bullet"/>
      <w:lvlText w:val=""/>
      <w:lvlJc w:val="start"/>
      <w:pPr>
        <w:tabs>
          <w:tab w:val="num" w:pos="3402"/>
        </w:tabs>
        <w:ind w:start="0" w:firstLine="709"/>
      </w:pPr>
      <w:rPr>
        <w:rFonts w:ascii="Symbol" w:hAnsi="Symbol" w:cs="Symbol" w:hint="default"/>
      </w:rPr>
    </w:lvl>
    <w:lvl w:ilvl="3">
      <w:start w:val="1"/>
      <w:numFmt w:val="bullet"/>
      <w:lvlText w:val=""/>
      <w:lvlJc w:val="start"/>
      <w:pPr>
        <w:tabs>
          <w:tab w:val="num" w:pos="3402"/>
        </w:tabs>
        <w:ind w:start="0" w:firstLine="709"/>
      </w:pPr>
      <w:rPr>
        <w:rFonts w:ascii="Symbol" w:hAnsi="Symbol" w:cs="Symbol" w:hint="default"/>
      </w:rPr>
    </w:lvl>
    <w:lvl w:ilvl="4">
      <w:start w:val="1"/>
      <w:numFmt w:val="bullet"/>
      <w:lvlText w:val="o"/>
      <w:lvlJc w:val="start"/>
      <w:pPr>
        <w:tabs>
          <w:tab w:val="num" w:pos="3402"/>
        </w:tabs>
        <w:ind w:start="0" w:firstLine="709"/>
      </w:pPr>
      <w:rPr>
        <w:rFonts w:ascii="Courier New" w:hAnsi="Courier New" w:cs="Courier New" w:hint="default"/>
      </w:rPr>
    </w:lvl>
    <w:lvl w:ilvl="5">
      <w:start w:val="1"/>
      <w:numFmt w:val="bullet"/>
      <w:lvlText w:val=""/>
      <w:lvlJc w:val="start"/>
      <w:pPr>
        <w:tabs>
          <w:tab w:val="num" w:pos="3402"/>
        </w:tabs>
        <w:ind w:start="0" w:firstLine="709"/>
      </w:pPr>
      <w:rPr>
        <w:rFonts w:ascii="Wingdings" w:hAnsi="Wingdings" w:cs="Wingdings" w:hint="default"/>
      </w:rPr>
    </w:lvl>
    <w:lvl w:ilvl="6">
      <w:start w:val="1"/>
      <w:numFmt w:val="bullet"/>
      <w:lvlText w:val=""/>
      <w:lvlJc w:val="start"/>
      <w:pPr>
        <w:tabs>
          <w:tab w:val="num" w:pos="3402"/>
        </w:tabs>
        <w:ind w:start="0" w:firstLine="709"/>
      </w:pPr>
      <w:rPr>
        <w:rFonts w:ascii="Symbol" w:hAnsi="Symbol" w:cs="Symbol" w:hint="default"/>
      </w:rPr>
    </w:lvl>
    <w:lvl w:ilvl="7">
      <w:start w:val="1"/>
      <w:numFmt w:val="bullet"/>
      <w:lvlText w:val="o"/>
      <w:lvlJc w:val="start"/>
      <w:pPr>
        <w:tabs>
          <w:tab w:val="num" w:pos="3402"/>
        </w:tabs>
        <w:ind w:start="0" w:firstLine="709"/>
      </w:pPr>
      <w:rPr>
        <w:rFonts w:ascii="Courier New" w:hAnsi="Courier New" w:cs="Courier New" w:hint="default"/>
      </w:rPr>
    </w:lvl>
    <w:lvl w:ilvl="8">
      <w:start w:val="1"/>
      <w:numFmt w:val="bullet"/>
      <w:lvlText w:val=""/>
      <w:lvlJc w:val="start"/>
      <w:pPr>
        <w:tabs>
          <w:tab w:val="num" w:pos="3402"/>
        </w:tabs>
        <w:ind w:start="0" w:firstLine="709"/>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2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0"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c50949"/>
    <w:pPr>
      <w:widowControl/>
      <w:bidi w:val="0"/>
      <w:spacing w:lineRule="auto" w:line="360" w:before="0" w:after="0"/>
      <w:ind w:firstLine="709"/>
      <w:jc w:val="both"/>
    </w:pPr>
    <w:rPr>
      <w:rFonts w:ascii="Times New Roman" w:hAnsi="Times New Roman" w:eastAsia="" w:cs="" w:cstheme="minorBidi" w:eastAsiaTheme="minorEastAsia"/>
      <w:color w:val="auto"/>
      <w:kern w:val="0"/>
      <w:sz w:val="24"/>
      <w:szCs w:val="22"/>
      <w:lang w:val="ru-RU" w:eastAsia="en-US" w:bidi="ar-SA"/>
    </w:rPr>
  </w:style>
  <w:style w:type="paragraph" w:styleId="Heading1">
    <w:name w:val="heading 1"/>
    <w:basedOn w:val="Normal"/>
    <w:next w:val="Normal"/>
    <w:link w:val="1"/>
    <w:uiPriority w:val="9"/>
    <w:qFormat/>
    <w:rsid w:val="003076b3"/>
    <w:pPr>
      <w:keepNext w:val="true"/>
      <w:keepLines/>
      <w:pageBreakBefore/>
      <w:numPr>
        <w:ilvl w:val="0"/>
        <w:numId w:val="1"/>
      </w:numPr>
      <w:spacing w:before="240" w:after="240"/>
      <w:outlineLvl w:val="0"/>
    </w:pPr>
    <w:rPr>
      <w:rFonts w:eastAsia="" w:cs="" w:cstheme="majorBidi" w:eastAsiaTheme="majorEastAsia"/>
      <w:b/>
      <w:caps/>
      <w:sz w:val="28"/>
      <w:szCs w:val="32"/>
    </w:rPr>
  </w:style>
  <w:style w:type="paragraph" w:styleId="Heading2">
    <w:name w:val="heading 2"/>
    <w:basedOn w:val="Normal"/>
    <w:next w:val="Normal"/>
    <w:link w:val="21"/>
    <w:uiPriority w:val="9"/>
    <w:unhideWhenUsed/>
    <w:qFormat/>
    <w:rsid w:val="00b928d2"/>
    <w:pPr>
      <w:keepLines/>
      <w:numPr>
        <w:ilvl w:val="1"/>
        <w:numId w:val="1"/>
      </w:numPr>
      <w:outlineLvl w:val="1"/>
    </w:pPr>
    <w:rPr>
      <w:rFonts w:eastAsia="" w:cs="" w:cstheme="majorBidi" w:eastAsiaTheme="majorEastAsia"/>
      <w:szCs w:val="28"/>
    </w:rPr>
  </w:style>
  <w:style w:type="paragraph" w:styleId="Heading3">
    <w:name w:val="heading 3"/>
    <w:basedOn w:val="Normal"/>
    <w:next w:val="Normal"/>
    <w:link w:val="3"/>
    <w:uiPriority w:val="9"/>
    <w:semiHidden/>
    <w:unhideWhenUsed/>
    <w:qFormat/>
    <w:rsid w:val="00c0601c"/>
    <w:pPr>
      <w:keepNext w:val="true"/>
      <w:keepLines/>
      <w:numPr>
        <w:ilvl w:val="2"/>
        <w:numId w:val="1"/>
      </w:numPr>
      <w:spacing w:before="40" w:after="0"/>
      <w:outlineLvl w:val="2"/>
    </w:pPr>
    <w:rPr>
      <w:rFonts w:ascii="Cambria" w:hAnsi="Cambria" w:eastAsia="" w:cs="" w:asciiTheme="majorHAnsi" w:cstheme="majorBidi" w:eastAsiaTheme="majorEastAsia" w:hAnsiTheme="majorHAnsi"/>
      <w:color w:themeColor="accent1" w:themeShade="80" w:val="244061"/>
      <w:szCs w:val="24"/>
    </w:rPr>
  </w:style>
  <w:style w:type="paragraph" w:styleId="Heading4">
    <w:name w:val="heading 4"/>
    <w:basedOn w:val="Normal"/>
    <w:next w:val="Normal"/>
    <w:link w:val="4"/>
    <w:uiPriority w:val="9"/>
    <w:semiHidden/>
    <w:unhideWhenUsed/>
    <w:qFormat/>
    <w:rsid w:val="00c0601c"/>
    <w:pPr>
      <w:keepNext w:val="true"/>
      <w:keepLines/>
      <w:numPr>
        <w:ilvl w:val="3"/>
        <w:numId w:val="1"/>
      </w:numPr>
      <w:spacing w:before="40" w:after="0"/>
      <w:outlineLvl w:val="3"/>
    </w:pPr>
    <w:rPr>
      <w:rFonts w:ascii="Cambria" w:hAnsi="Cambria" w:eastAsia="" w:cs="" w:asciiTheme="majorHAnsi" w:cstheme="majorBidi" w:eastAsiaTheme="majorEastAsia" w:hAnsiTheme="majorHAnsi"/>
      <w:i/>
      <w:iCs/>
      <w:color w:themeColor="accent1" w:themeShade="bf" w:val="365F91"/>
    </w:rPr>
  </w:style>
  <w:style w:type="paragraph" w:styleId="Heading5">
    <w:name w:val="heading 5"/>
    <w:basedOn w:val="Normal"/>
    <w:next w:val="Normal"/>
    <w:link w:val="5"/>
    <w:uiPriority w:val="9"/>
    <w:semiHidden/>
    <w:unhideWhenUsed/>
    <w:qFormat/>
    <w:rsid w:val="00c0601c"/>
    <w:pPr>
      <w:keepNext w:val="true"/>
      <w:keepLines/>
      <w:numPr>
        <w:ilvl w:val="4"/>
        <w:numId w:val="1"/>
      </w:numPr>
      <w:spacing w:before="40" w:after="0"/>
      <w:outlineLvl w:val="4"/>
    </w:pPr>
    <w:rPr>
      <w:rFonts w:ascii="Cambria" w:hAnsi="Cambria" w:eastAsia="" w:cs="" w:asciiTheme="majorHAnsi" w:cstheme="majorBidi" w:eastAsiaTheme="majorEastAsia" w:hAnsiTheme="majorHAnsi"/>
      <w:color w:themeColor="accent1" w:themeShade="bf" w:val="365F91"/>
    </w:rPr>
  </w:style>
  <w:style w:type="paragraph" w:styleId="Heading6">
    <w:name w:val="heading 6"/>
    <w:basedOn w:val="Normal"/>
    <w:next w:val="Normal"/>
    <w:link w:val="6"/>
    <w:uiPriority w:val="9"/>
    <w:semiHidden/>
    <w:unhideWhenUsed/>
    <w:qFormat/>
    <w:rsid w:val="00c0601c"/>
    <w:pPr>
      <w:keepNext w:val="true"/>
      <w:keepLines/>
      <w:numPr>
        <w:ilvl w:val="5"/>
        <w:numId w:val="1"/>
      </w:numPr>
      <w:spacing w:before="40" w:after="0"/>
      <w:outlineLvl w:val="5"/>
    </w:pPr>
    <w:rPr>
      <w:rFonts w:ascii="Cambria" w:hAnsi="Cambria" w:eastAsia="" w:cs="" w:asciiTheme="majorHAnsi" w:cstheme="majorBidi" w:eastAsiaTheme="majorEastAsia" w:hAnsiTheme="majorHAnsi"/>
      <w:color w:themeColor="accent1" w:themeShade="80" w:val="244061"/>
    </w:rPr>
  </w:style>
  <w:style w:type="paragraph" w:styleId="Heading7">
    <w:name w:val="heading 7"/>
    <w:basedOn w:val="Normal"/>
    <w:next w:val="Normal"/>
    <w:link w:val="7"/>
    <w:uiPriority w:val="9"/>
    <w:semiHidden/>
    <w:unhideWhenUsed/>
    <w:qFormat/>
    <w:rsid w:val="00c0601c"/>
    <w:pPr>
      <w:keepNext w:val="true"/>
      <w:keepLines/>
      <w:numPr>
        <w:ilvl w:val="6"/>
        <w:numId w:val="1"/>
      </w:numPr>
      <w:spacing w:before="40" w:after="0"/>
      <w:outlineLvl w:val="6"/>
    </w:pPr>
    <w:rPr>
      <w:rFonts w:ascii="Cambria" w:hAnsi="Cambria" w:eastAsia="" w:cs="" w:asciiTheme="majorHAnsi" w:cstheme="majorBidi" w:eastAsiaTheme="majorEastAsia" w:hAnsiTheme="majorHAnsi"/>
      <w:i/>
      <w:iCs/>
      <w:color w:themeColor="accent1" w:themeShade="80" w:val="244061"/>
    </w:rPr>
  </w:style>
  <w:style w:type="paragraph" w:styleId="Heading8">
    <w:name w:val="heading 8"/>
    <w:basedOn w:val="Normal"/>
    <w:next w:val="Normal"/>
    <w:link w:val="8"/>
    <w:uiPriority w:val="9"/>
    <w:semiHidden/>
    <w:unhideWhenUsed/>
    <w:qFormat/>
    <w:rsid w:val="00c0601c"/>
    <w:pPr>
      <w:keepNext w:val="true"/>
      <w:keepLines/>
      <w:numPr>
        <w:ilvl w:val="7"/>
        <w:numId w:val="1"/>
      </w:numPr>
      <w:spacing w:before="40" w:after="0"/>
      <w:outlineLvl w:val="7"/>
    </w:pPr>
    <w:rPr>
      <w:rFonts w:ascii="Cambria" w:hAnsi="Cambria" w:eastAsia="" w:cs="" w:asciiTheme="majorHAnsi" w:cstheme="majorBidi" w:eastAsiaTheme="majorEastAsia" w:hAnsiTheme="majorHAnsi"/>
      <w:color w:themeColor="text1" w:themeTint="d9" w:val="262626"/>
      <w:sz w:val="21"/>
      <w:szCs w:val="21"/>
    </w:rPr>
  </w:style>
  <w:style w:type="paragraph" w:styleId="Heading9">
    <w:name w:val="heading 9"/>
    <w:basedOn w:val="Normal"/>
    <w:next w:val="Normal"/>
    <w:link w:val="9"/>
    <w:uiPriority w:val="9"/>
    <w:semiHidden/>
    <w:unhideWhenUsed/>
    <w:qFormat/>
    <w:rsid w:val="00c0601c"/>
    <w:pPr>
      <w:keepNext w:val="true"/>
      <w:keepLines/>
      <w:numPr>
        <w:ilvl w:val="8"/>
        <w:numId w:val="1"/>
      </w:numPr>
      <w:spacing w:before="40" w:after="0"/>
      <w:outlineLvl w:val="8"/>
    </w:pPr>
    <w:rPr>
      <w:rFonts w:ascii="Cambria" w:hAnsi="Cambria" w:eastAsia="" w:cs="" w:asciiTheme="majorHAnsi" w:cstheme="majorBidi" w:eastAsiaTheme="majorEastAsia" w:hAnsiTheme="majorHAnsi"/>
      <w:i/>
      <w:iCs/>
      <w:color w:themeColor="text1" w:themeTint="d9" w:val="262626"/>
      <w:sz w:val="21"/>
      <w:szCs w:val="21"/>
    </w:rPr>
  </w:style>
  <w:style w:type="character" w:styleId="DefaultParagraphFont" w:default="1">
    <w:name w:val="Default Paragraph Font"/>
    <w:uiPriority w:val="1"/>
    <w:semiHidden/>
    <w:unhideWhenUsed/>
    <w:qFormat/>
    <w:rPr/>
  </w:style>
  <w:style w:type="character" w:styleId="Style5" w:customStyle="1">
    <w:name w:val="Текст выноски Знак"/>
    <w:basedOn w:val="DefaultParagraphFont"/>
    <w:link w:val="BalloonText"/>
    <w:uiPriority w:val="99"/>
    <w:semiHidden/>
    <w:qFormat/>
    <w:rsid w:val="00c246b8"/>
    <w:rPr>
      <w:rFonts w:ascii="Tahoma" w:hAnsi="Tahoma" w:cs="Tahoma"/>
      <w:sz w:val="16"/>
      <w:szCs w:val="16"/>
    </w:rPr>
  </w:style>
  <w:style w:type="character" w:styleId="Style6" w:customStyle="1">
    <w:name w:val="Верхний колонтитул Знак"/>
    <w:basedOn w:val="DefaultParagraphFont"/>
    <w:uiPriority w:val="99"/>
    <w:semiHidden/>
    <w:qFormat/>
    <w:rsid w:val="00446277"/>
    <w:rPr/>
  </w:style>
  <w:style w:type="character" w:styleId="Style7" w:customStyle="1">
    <w:name w:val="Нижний колонтитул Знак"/>
    <w:basedOn w:val="DefaultParagraphFont"/>
    <w:uiPriority w:val="99"/>
    <w:qFormat/>
    <w:rsid w:val="00446277"/>
    <w:rPr/>
  </w:style>
  <w:style w:type="character" w:styleId="PageNumber">
    <w:name w:val="page number"/>
    <w:basedOn w:val="DefaultParagraphFont"/>
    <w:rsid w:val="00446277"/>
    <w:rPr/>
  </w:style>
  <w:style w:type="character" w:styleId="1" w:customStyle="1">
    <w:name w:val="Заголовок 1 Знак"/>
    <w:basedOn w:val="DefaultParagraphFont"/>
    <w:uiPriority w:val="9"/>
    <w:qFormat/>
    <w:rsid w:val="003076b3"/>
    <w:rPr>
      <w:rFonts w:ascii="Times New Roman" w:hAnsi="Times New Roman" w:eastAsia="" w:cs="" w:cstheme="majorBidi" w:eastAsiaTheme="majorEastAsia"/>
      <w:b/>
      <w:caps/>
      <w:sz w:val="28"/>
      <w:szCs w:val="32"/>
    </w:rPr>
  </w:style>
  <w:style w:type="character" w:styleId="Style8" w:customStyle="1">
    <w:name w:val="Заголовок ГПП Знак"/>
    <w:basedOn w:val="1"/>
    <w:link w:val="Style27"/>
    <w:qFormat/>
    <w:rsid w:val="00ca6384"/>
    <w:rPr>
      <w:rFonts w:ascii="Times New Roman" w:hAnsi="Times New Roman" w:eastAsia="" w:cs="Times New Roman" w:eastAsiaTheme="majorEastAsia"/>
      <w:b/>
      <w:bCs w:val="false"/>
      <w:caps w:val="false"/>
      <w:smallCaps w:val="false"/>
      <w:color w:themeColor="accent1" w:themeShade="bf" w:val="365F91"/>
      <w:sz w:val="24"/>
      <w:szCs w:val="24"/>
    </w:rPr>
  </w:style>
  <w:style w:type="character" w:styleId="Hyperlink">
    <w:name w:val="Hyperlink"/>
    <w:uiPriority w:val="99"/>
    <w:rsid w:val="00fa68f2"/>
    <w:rPr>
      <w:color w:val="0000FF"/>
      <w:sz w:val="24"/>
      <w:u w:val="single"/>
    </w:rPr>
  </w:style>
  <w:style w:type="character" w:styleId="2" w:customStyle="1">
    <w:name w:val="Заголовок ГПП2 Знак"/>
    <w:basedOn w:val="DefaultParagraphFont"/>
    <w:link w:val="24"/>
    <w:qFormat/>
    <w:rsid w:val="00086c0e"/>
    <w:rPr>
      <w:rFonts w:ascii="Times New Roman" w:hAnsi="Times New Roman" w:cs="Times New Roman"/>
      <w:sz w:val="24"/>
      <w:szCs w:val="24"/>
    </w:rPr>
  </w:style>
  <w:style w:type="character" w:styleId="Style9" w:customStyle="1">
    <w:name w:val="Основной текст Знак"/>
    <w:basedOn w:val="DefaultParagraphFont"/>
    <w:qFormat/>
    <w:rsid w:val="009918df"/>
    <w:rPr>
      <w:rFonts w:ascii="Times New Roman" w:hAnsi="Times New Roman" w:eastAsia="Times New Roman" w:cs="Times New Roman"/>
      <w:sz w:val="28"/>
      <w:szCs w:val="24"/>
      <w:lang w:eastAsia="ru-RU"/>
    </w:rPr>
  </w:style>
  <w:style w:type="character" w:styleId="Style10" w:customStyle="1">
    <w:name w:val="Основной текст с отступом Знак"/>
    <w:basedOn w:val="DefaultParagraphFont"/>
    <w:uiPriority w:val="99"/>
    <w:qFormat/>
    <w:rsid w:val="0087721b"/>
    <w:rPr/>
  </w:style>
  <w:style w:type="character" w:styleId="21" w:customStyle="1">
    <w:name w:val="Заголовок 2 Знак"/>
    <w:basedOn w:val="DefaultParagraphFont"/>
    <w:uiPriority w:val="9"/>
    <w:qFormat/>
    <w:rsid w:val="00b928d2"/>
    <w:rPr>
      <w:rFonts w:ascii="Times New Roman" w:hAnsi="Times New Roman" w:eastAsia="" w:cs="" w:cstheme="majorBidi" w:eastAsiaTheme="majorEastAsia"/>
      <w:sz w:val="24"/>
      <w:szCs w:val="28"/>
    </w:rPr>
  </w:style>
  <w:style w:type="character" w:styleId="CommentReference">
    <w:name w:val="annotation reference"/>
    <w:basedOn w:val="DefaultParagraphFont"/>
    <w:semiHidden/>
    <w:qFormat/>
    <w:rsid w:val="005b6c54"/>
    <w:rPr>
      <w:sz w:val="16"/>
      <w:szCs w:val="16"/>
    </w:rPr>
  </w:style>
  <w:style w:type="character" w:styleId="Style11" w:customStyle="1">
    <w:name w:val="Текст примечания Знак"/>
    <w:basedOn w:val="DefaultParagraphFont"/>
    <w:semiHidden/>
    <w:qFormat/>
    <w:rsid w:val="005b6c54"/>
    <w:rPr>
      <w:rFonts w:ascii="Times New Roman" w:hAnsi="Times New Roman" w:eastAsia="Times New Roman" w:cs="Times New Roman"/>
      <w:sz w:val="20"/>
      <w:szCs w:val="20"/>
      <w:lang w:eastAsia="ru-RU"/>
    </w:rPr>
  </w:style>
  <w:style w:type="character" w:styleId="Style12">
    <w:name w:val="Символ сноски"/>
    <w:basedOn w:val="DefaultParagraphFont"/>
    <w:uiPriority w:val="99"/>
    <w:qFormat/>
    <w:rsid w:val="004365f6"/>
    <w:rPr>
      <w:vertAlign w:val="superscript"/>
    </w:rPr>
  </w:style>
  <w:style w:type="character" w:styleId="FootnoteReference">
    <w:name w:val="footnote reference"/>
    <w:rPr>
      <w:vertAlign w:val="superscript"/>
    </w:rPr>
  </w:style>
  <w:style w:type="character" w:styleId="Style13" w:customStyle="1">
    <w:name w:val="Текст сноски Знак"/>
    <w:basedOn w:val="DefaultParagraphFont"/>
    <w:uiPriority w:val="99"/>
    <w:qFormat/>
    <w:rsid w:val="004365f6"/>
    <w:rPr>
      <w:sz w:val="20"/>
      <w:szCs w:val="20"/>
    </w:rPr>
  </w:style>
  <w:style w:type="character" w:styleId="3" w:customStyle="1">
    <w:name w:val="Заголовок 3 Знак"/>
    <w:basedOn w:val="DefaultParagraphFont"/>
    <w:uiPriority w:val="9"/>
    <w:semiHidden/>
    <w:qFormat/>
    <w:rsid w:val="00c0601c"/>
    <w:rPr>
      <w:rFonts w:ascii="Cambria" w:hAnsi="Cambria" w:eastAsia="" w:cs="" w:asciiTheme="majorHAnsi" w:cstheme="majorBidi" w:eastAsiaTheme="majorEastAsia" w:hAnsiTheme="majorHAnsi"/>
      <w:color w:themeColor="accent1" w:themeShade="80" w:val="244061"/>
      <w:sz w:val="24"/>
      <w:szCs w:val="24"/>
    </w:rPr>
  </w:style>
  <w:style w:type="character" w:styleId="4" w:customStyle="1">
    <w:name w:val="Заголовок 4 Знак"/>
    <w:basedOn w:val="DefaultParagraphFont"/>
    <w:uiPriority w:val="9"/>
    <w:semiHidden/>
    <w:qFormat/>
    <w:rsid w:val="00c0601c"/>
    <w:rPr>
      <w:rFonts w:ascii="Cambria" w:hAnsi="Cambria" w:eastAsia="" w:cs="" w:asciiTheme="majorHAnsi" w:cstheme="majorBidi" w:eastAsiaTheme="majorEastAsia" w:hAnsiTheme="majorHAnsi"/>
      <w:i/>
      <w:iCs/>
      <w:color w:themeColor="accent1" w:themeShade="bf" w:val="365F91"/>
    </w:rPr>
  </w:style>
  <w:style w:type="character" w:styleId="5" w:customStyle="1">
    <w:name w:val="Заголовок 5 Знак"/>
    <w:basedOn w:val="DefaultParagraphFont"/>
    <w:uiPriority w:val="9"/>
    <w:semiHidden/>
    <w:qFormat/>
    <w:rsid w:val="00c0601c"/>
    <w:rPr>
      <w:rFonts w:ascii="Cambria" w:hAnsi="Cambria" w:eastAsia="" w:cs="" w:asciiTheme="majorHAnsi" w:cstheme="majorBidi" w:eastAsiaTheme="majorEastAsia" w:hAnsiTheme="majorHAnsi"/>
      <w:color w:themeColor="accent1" w:themeShade="bf" w:val="365F91"/>
    </w:rPr>
  </w:style>
  <w:style w:type="character" w:styleId="6" w:customStyle="1">
    <w:name w:val="Заголовок 6 Знак"/>
    <w:basedOn w:val="DefaultParagraphFont"/>
    <w:uiPriority w:val="9"/>
    <w:semiHidden/>
    <w:qFormat/>
    <w:rsid w:val="00c0601c"/>
    <w:rPr>
      <w:rFonts w:ascii="Cambria" w:hAnsi="Cambria" w:eastAsia="" w:cs="" w:asciiTheme="majorHAnsi" w:cstheme="majorBidi" w:eastAsiaTheme="majorEastAsia" w:hAnsiTheme="majorHAnsi"/>
      <w:color w:themeColor="accent1" w:themeShade="80" w:val="244061"/>
    </w:rPr>
  </w:style>
  <w:style w:type="character" w:styleId="7" w:customStyle="1">
    <w:name w:val="Заголовок 7 Знак"/>
    <w:basedOn w:val="DefaultParagraphFont"/>
    <w:uiPriority w:val="9"/>
    <w:semiHidden/>
    <w:qFormat/>
    <w:rsid w:val="00c0601c"/>
    <w:rPr>
      <w:rFonts w:ascii="Cambria" w:hAnsi="Cambria" w:eastAsia="" w:cs="" w:asciiTheme="majorHAnsi" w:cstheme="majorBidi" w:eastAsiaTheme="majorEastAsia" w:hAnsiTheme="majorHAnsi"/>
      <w:i/>
      <w:iCs/>
      <w:color w:themeColor="accent1" w:themeShade="80" w:val="244061"/>
    </w:rPr>
  </w:style>
  <w:style w:type="character" w:styleId="8" w:customStyle="1">
    <w:name w:val="Заголовок 8 Знак"/>
    <w:basedOn w:val="DefaultParagraphFont"/>
    <w:uiPriority w:val="9"/>
    <w:semiHidden/>
    <w:qFormat/>
    <w:rsid w:val="00c0601c"/>
    <w:rPr>
      <w:rFonts w:ascii="Cambria" w:hAnsi="Cambria" w:eastAsia="" w:cs="" w:asciiTheme="majorHAnsi" w:cstheme="majorBidi" w:eastAsiaTheme="majorEastAsia" w:hAnsiTheme="majorHAnsi"/>
      <w:color w:themeColor="text1" w:themeTint="d9" w:val="262626"/>
      <w:sz w:val="21"/>
      <w:szCs w:val="21"/>
    </w:rPr>
  </w:style>
  <w:style w:type="character" w:styleId="9" w:customStyle="1">
    <w:name w:val="Заголовок 9 Знак"/>
    <w:basedOn w:val="DefaultParagraphFont"/>
    <w:uiPriority w:val="9"/>
    <w:semiHidden/>
    <w:qFormat/>
    <w:rsid w:val="00c0601c"/>
    <w:rPr>
      <w:rFonts w:ascii="Cambria" w:hAnsi="Cambria" w:eastAsia="" w:cs="" w:asciiTheme="majorHAnsi" w:cstheme="majorBidi" w:eastAsiaTheme="majorEastAsia" w:hAnsiTheme="majorHAnsi"/>
      <w:i/>
      <w:iCs/>
      <w:color w:themeColor="text1" w:themeTint="d9" w:val="262626"/>
      <w:sz w:val="21"/>
      <w:szCs w:val="21"/>
    </w:rPr>
  </w:style>
  <w:style w:type="character" w:styleId="Style14" w:customStyle="1">
    <w:name w:val="Заголовок Знак"/>
    <w:basedOn w:val="DefaultParagraphFont"/>
    <w:uiPriority w:val="10"/>
    <w:qFormat/>
    <w:rsid w:val="008a70cf"/>
    <w:rPr>
      <w:rFonts w:ascii="Times New Roman" w:hAnsi="Times New Roman" w:eastAsia="" w:cs="" w:cstheme="majorBidi" w:eastAsiaTheme="majorEastAsia"/>
      <w:b/>
      <w:caps/>
      <w:spacing w:val="-10"/>
      <w:sz w:val="24"/>
      <w:szCs w:val="56"/>
    </w:rPr>
  </w:style>
  <w:style w:type="character" w:styleId="Style15" w:customStyle="1">
    <w:name w:val="Подзаголовок Знак"/>
    <w:basedOn w:val="DefaultParagraphFont"/>
    <w:uiPriority w:val="11"/>
    <w:qFormat/>
    <w:rsid w:val="00c0601c"/>
    <w:rPr>
      <w:color w:themeColor="text1" w:themeTint="a5" w:val="5A5A5A"/>
      <w:spacing w:val="15"/>
    </w:rPr>
  </w:style>
  <w:style w:type="character" w:styleId="Strong">
    <w:name w:val="Strong"/>
    <w:basedOn w:val="DefaultParagraphFont"/>
    <w:uiPriority w:val="22"/>
    <w:qFormat/>
    <w:rsid w:val="00c0601c"/>
    <w:rPr>
      <w:b/>
      <w:bCs/>
      <w:color w:val="auto"/>
    </w:rPr>
  </w:style>
  <w:style w:type="character" w:styleId="Emphasis">
    <w:name w:val="Emphasis"/>
    <w:basedOn w:val="DefaultParagraphFont"/>
    <w:uiPriority w:val="20"/>
    <w:qFormat/>
    <w:rsid w:val="00c0601c"/>
    <w:rPr>
      <w:i/>
      <w:iCs/>
      <w:color w:val="auto"/>
    </w:rPr>
  </w:style>
  <w:style w:type="character" w:styleId="22" w:customStyle="1">
    <w:name w:val="Цитата 2 Знак"/>
    <w:basedOn w:val="DefaultParagraphFont"/>
    <w:link w:val="Quote"/>
    <w:uiPriority w:val="29"/>
    <w:qFormat/>
    <w:rsid w:val="00c0601c"/>
    <w:rPr>
      <w:i/>
      <w:iCs/>
      <w:color w:themeColor="text1" w:themeTint="bf" w:val="404040"/>
    </w:rPr>
  </w:style>
  <w:style w:type="character" w:styleId="Style16" w:customStyle="1">
    <w:name w:val="Выделенная цитата Знак"/>
    <w:basedOn w:val="DefaultParagraphFont"/>
    <w:link w:val="IntenseQuote"/>
    <w:uiPriority w:val="30"/>
    <w:qFormat/>
    <w:rsid w:val="00c0601c"/>
    <w:rPr>
      <w:i/>
      <w:iCs/>
      <w:color w:themeColor="accent1" w:val="4F81BD"/>
    </w:rPr>
  </w:style>
  <w:style w:type="character" w:styleId="SubtleEmphasis">
    <w:name w:val="Subtle Emphasis"/>
    <w:basedOn w:val="DefaultParagraphFont"/>
    <w:uiPriority w:val="19"/>
    <w:qFormat/>
    <w:rsid w:val="00c0601c"/>
    <w:rPr>
      <w:i/>
      <w:iCs/>
      <w:color w:themeColor="text1" w:themeTint="bf" w:val="404040"/>
    </w:rPr>
  </w:style>
  <w:style w:type="character" w:styleId="IntenseEmphasis">
    <w:name w:val="Intense Emphasis"/>
    <w:basedOn w:val="DefaultParagraphFont"/>
    <w:uiPriority w:val="21"/>
    <w:qFormat/>
    <w:rsid w:val="00c0601c"/>
    <w:rPr>
      <w:i/>
      <w:iCs/>
      <w:color w:themeColor="accent1" w:val="4F81BD"/>
    </w:rPr>
  </w:style>
  <w:style w:type="character" w:styleId="SubtleReference">
    <w:name w:val="Subtle Reference"/>
    <w:basedOn w:val="DefaultParagraphFont"/>
    <w:uiPriority w:val="31"/>
    <w:qFormat/>
    <w:rsid w:val="00c0601c"/>
    <w:rPr>
      <w:smallCaps/>
      <w:color w:themeColor="text1" w:themeTint="bf" w:val="404040"/>
    </w:rPr>
  </w:style>
  <w:style w:type="character" w:styleId="IntenseReference">
    <w:name w:val="Intense Reference"/>
    <w:basedOn w:val="DefaultParagraphFont"/>
    <w:uiPriority w:val="32"/>
    <w:qFormat/>
    <w:rsid w:val="00c0601c"/>
    <w:rPr>
      <w:b/>
      <w:bCs/>
      <w:smallCaps/>
      <w:color w:themeColor="accent1" w:val="4F81BD"/>
      <w:spacing w:val="5"/>
    </w:rPr>
  </w:style>
  <w:style w:type="character" w:styleId="BookTitle">
    <w:name w:val="Book Title"/>
    <w:basedOn w:val="DefaultParagraphFont"/>
    <w:uiPriority w:val="33"/>
    <w:qFormat/>
    <w:rsid w:val="00c0601c"/>
    <w:rPr>
      <w:b/>
      <w:bCs/>
      <w:i/>
      <w:iCs/>
      <w:spacing w:val="5"/>
    </w:rPr>
  </w:style>
  <w:style w:type="character" w:styleId="11" w:customStyle="1">
    <w:name w:val="Оглавление 1 Знак"/>
    <w:basedOn w:val="DefaultParagraphFont"/>
    <w:uiPriority w:val="39"/>
    <w:qFormat/>
    <w:rsid w:val="005c68ef"/>
    <w:rPr>
      <w:rFonts w:ascii="Times New Roman" w:hAnsi="Times New Roman"/>
      <w:color w:themeColor="text1" w:val="000000"/>
      <w:sz w:val="24"/>
    </w:rPr>
  </w:style>
  <w:style w:type="character" w:styleId="23" w:customStyle="1">
    <w:name w:val="Стиль2 Знак"/>
    <w:basedOn w:val="11"/>
    <w:link w:val="25"/>
    <w:qFormat/>
    <w:rsid w:val="004365f6"/>
    <w:rPr>
      <w:rFonts w:ascii="Times New Roman" w:hAnsi="Times New Roman" w:cs="Times New Roman"/>
      <w:color w:themeColor="text1" w:val="000000"/>
      <w:sz w:val="24"/>
      <w:szCs w:val="24"/>
    </w:rPr>
  </w:style>
  <w:style w:type="character" w:styleId="31" w:customStyle="1">
    <w:name w:val="Стиль3 Знак"/>
    <w:basedOn w:val="11"/>
    <w:link w:val="32"/>
    <w:qFormat/>
    <w:rsid w:val="008d66e6"/>
    <w:rPr>
      <w:rFonts w:ascii="Times New Roman" w:hAnsi="Times New Roman" w:cs="Times New Roman"/>
      <w:color w:themeColor="text1" w:val="000000"/>
      <w:sz w:val="24"/>
      <w:szCs w:val="24"/>
    </w:rPr>
  </w:style>
  <w:style w:type="character" w:styleId="Style17" w:customStyle="1">
    <w:name w:val="Тема примечания Знак"/>
    <w:basedOn w:val="Style11"/>
    <w:link w:val="annotationsubject"/>
    <w:uiPriority w:val="99"/>
    <w:semiHidden/>
    <w:qFormat/>
    <w:rsid w:val="00411b4c"/>
    <w:rPr>
      <w:rFonts w:ascii="Times New Roman" w:hAnsi="Times New Roman" w:eastAsia="Times New Roman" w:cs="Times New Roman"/>
      <w:b/>
      <w:bCs/>
      <w:sz w:val="20"/>
      <w:szCs w:val="20"/>
      <w:lang w:eastAsia="ru-RU"/>
    </w:rPr>
  </w:style>
  <w:style w:type="character" w:styleId="Style18" w:customStyle="1">
    <w:name w:val="Абзац списка Знак"/>
    <w:link w:val="ListParagraph"/>
    <w:uiPriority w:val="34"/>
    <w:qFormat/>
    <w:rsid w:val="00e15698"/>
    <w:rPr/>
  </w:style>
  <w:style w:type="character" w:styleId="41" w:customStyle="1">
    <w:name w:val="Стиль4 Знак"/>
    <w:basedOn w:val="11"/>
    <w:link w:val="42"/>
    <w:qFormat/>
    <w:rsid w:val="00461c95"/>
    <w:rPr>
      <w:rFonts w:ascii="Times New Roman" w:hAnsi="Times New Roman" w:cs="Times New Roman"/>
      <w:color w:themeColor="text1" w:val="000000"/>
      <w:sz w:val="24"/>
      <w:szCs w:val="24"/>
    </w:rPr>
  </w:style>
  <w:style w:type="character" w:styleId="Style19" w:customStyle="1">
    <w:name w:val="Основной текст_"/>
    <w:basedOn w:val="DefaultParagraphFont"/>
    <w:link w:val="14"/>
    <w:qFormat/>
    <w:rsid w:val="00301783"/>
    <w:rPr>
      <w:rFonts w:ascii="Times New Roman" w:hAnsi="Times New Roman" w:eastAsia="Times New Roman" w:cs="Times New Roman"/>
      <w:shd w:fill="FFFFFF" w:val="clear"/>
    </w:rPr>
  </w:style>
  <w:style w:type="character" w:styleId="fontstyle01" w:customStyle="1">
    <w:name w:val="fontstyle01"/>
    <w:basedOn w:val="DefaultParagraphFont"/>
    <w:qFormat/>
    <w:rsid w:val="00654bd8"/>
    <w:rPr>
      <w:rFonts w:ascii="TimesNewRomanPSMT" w:hAnsi="TimesNewRomanPSMT"/>
      <w:b w:val="false"/>
      <w:bCs w:val="false"/>
      <w:i w:val="false"/>
      <w:iCs w:val="false"/>
      <w:color w:val="000000"/>
      <w:sz w:val="24"/>
      <w:szCs w:val="24"/>
    </w:rPr>
  </w:style>
  <w:style w:type="character" w:styleId="Style20" w:customStyle="1">
    <w:name w:val="Колонтитул Знак"/>
    <w:basedOn w:val="DefaultParagraphFont"/>
    <w:link w:val="Style29"/>
    <w:qFormat/>
    <w:rsid w:val="00d228fc"/>
    <w:rPr>
      <w:rFonts w:ascii="Times New Roman" w:hAnsi="Times New Roman"/>
      <w:sz w:val="28"/>
      <w:szCs w:val="28"/>
      <w:lang w:eastAsia="ru-RU"/>
    </w:rPr>
  </w:style>
  <w:style w:type="character" w:styleId="Style21" w:customStyle="1">
    <w:name w:val="Таблица Знак"/>
    <w:basedOn w:val="DefaultParagraphFont"/>
    <w:link w:val="Style31"/>
    <w:qFormat/>
    <w:rsid w:val="00d228fc"/>
    <w:rPr>
      <w:rFonts w:ascii="Times New Roman" w:hAnsi="Times New Roman" w:cs="Times New Roman"/>
      <w:iCs/>
      <w:sz w:val="24"/>
      <w:szCs w:val="24"/>
    </w:rPr>
  </w:style>
  <w:style w:type="character" w:styleId="Style22" w:customStyle="1">
    <w:name w:val="Рисунки Знак"/>
    <w:basedOn w:val="DefaultParagraphFont"/>
    <w:link w:val="Style30"/>
    <w:qFormat/>
    <w:rsid w:val="008a70cf"/>
    <w:rPr>
      <w:rFonts w:ascii="Times New Roman" w:hAnsi="Times New Roman"/>
      <w:sz w:val="24"/>
      <w:lang w:eastAsia="ru-RU"/>
    </w:rPr>
  </w:style>
  <w:style w:type="character" w:styleId="Style23">
    <w:name w:val="Ссылка указателя"/>
    <w:qFormat/>
    <w:rPr/>
  </w:style>
  <w:style w:type="paragraph" w:styleId="Style2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9"/>
    <w:rsid w:val="009918df"/>
    <w:pPr>
      <w:spacing w:lineRule="auto" w:line="240"/>
    </w:pPr>
    <w:rPr>
      <w:rFonts w:eastAsia="Times New Roman" w:cs="Times New Roman"/>
      <w:sz w:val="28"/>
      <w:szCs w:val="24"/>
      <w:lang w:eastAsia="ru-RU"/>
    </w:rPr>
  </w:style>
  <w:style w:type="paragraph" w:styleId="List">
    <w:name w:val="List"/>
    <w:basedOn w:val="BodyText"/>
    <w:pPr/>
    <w:rPr>
      <w:rFonts w:cs="Arial"/>
    </w:rPr>
  </w:style>
  <w:style w:type="paragraph" w:styleId="Caption">
    <w:name w:val="caption"/>
    <w:basedOn w:val="Normal"/>
    <w:next w:val="Normal"/>
    <w:uiPriority w:val="35"/>
    <w:unhideWhenUsed/>
    <w:qFormat/>
    <w:rsid w:val="00c0601c"/>
    <w:pPr>
      <w:spacing w:lineRule="auto" w:line="240" w:before="0" w:after="200"/>
    </w:pPr>
    <w:rPr>
      <w:i/>
      <w:iCs/>
      <w:color w:themeColor="text2" w:val="1F497D"/>
      <w:sz w:val="18"/>
      <w:szCs w:val="18"/>
    </w:rPr>
  </w:style>
  <w:style w:type="paragraph" w:styleId="Style25">
    <w:name w:val="Указатель"/>
    <w:basedOn w:val="Normal"/>
    <w:qFormat/>
    <w:pPr>
      <w:suppressLineNumbers/>
    </w:pPr>
    <w:rPr>
      <w:rFonts w:cs="Arial"/>
    </w:rPr>
  </w:style>
  <w:style w:type="paragraph" w:styleId="BalloonText">
    <w:name w:val="Balloon Text"/>
    <w:basedOn w:val="Normal"/>
    <w:link w:val="Style5"/>
    <w:uiPriority w:val="99"/>
    <w:semiHidden/>
    <w:unhideWhenUsed/>
    <w:qFormat/>
    <w:rsid w:val="00c246b8"/>
    <w:pPr>
      <w:spacing w:lineRule="auto" w:line="240"/>
    </w:pPr>
    <w:rPr>
      <w:rFonts w:ascii="Tahoma" w:hAnsi="Tahoma" w:cs="Tahoma"/>
      <w:sz w:val="16"/>
      <w:szCs w:val="16"/>
    </w:rPr>
  </w:style>
  <w:style w:type="paragraph" w:styleId="Style26">
    <w:name w:val="Колонтитулы"/>
    <w:basedOn w:val="Normal"/>
    <w:qFormat/>
    <w:pPr/>
    <w:rPr/>
  </w:style>
  <w:style w:type="paragraph" w:styleId="Header">
    <w:name w:val="header"/>
    <w:basedOn w:val="Normal"/>
    <w:link w:val="Style6"/>
    <w:unhideWhenUsed/>
    <w:rsid w:val="00446277"/>
    <w:pPr>
      <w:tabs>
        <w:tab w:val="clear" w:pos="708"/>
        <w:tab w:val="center" w:pos="4677" w:leader="none"/>
        <w:tab w:val="right" w:pos="9355" w:leader="none"/>
      </w:tabs>
      <w:spacing w:lineRule="auto" w:line="240"/>
    </w:pPr>
    <w:rPr/>
  </w:style>
  <w:style w:type="paragraph" w:styleId="Footer">
    <w:name w:val="footer"/>
    <w:basedOn w:val="Normal"/>
    <w:link w:val="Style7"/>
    <w:uiPriority w:val="99"/>
    <w:unhideWhenUsed/>
    <w:rsid w:val="00446277"/>
    <w:pPr>
      <w:tabs>
        <w:tab w:val="clear" w:pos="708"/>
        <w:tab w:val="center" w:pos="4677" w:leader="none"/>
        <w:tab w:val="right" w:pos="9355" w:leader="none"/>
      </w:tabs>
      <w:spacing w:lineRule="auto" w:line="240"/>
    </w:pPr>
    <w:rPr/>
  </w:style>
  <w:style w:type="paragraph" w:styleId="Style27" w:customStyle="1">
    <w:name w:val="Заголовок ГПП"/>
    <w:basedOn w:val="Heading1"/>
    <w:link w:val="Style8"/>
    <w:qFormat/>
    <w:rsid w:val="00ca6384"/>
    <w:pPr>
      <w:numPr>
        <w:ilvl w:val="0"/>
        <w:numId w:val="1"/>
      </w:numPr>
      <w:spacing w:lineRule="auto" w:line="240" w:before="240" w:after="120"/>
    </w:pPr>
    <w:rPr>
      <w:rFonts w:cs="Times New Roman"/>
      <w:caps w:val="false"/>
      <w:smallCaps w:val="false"/>
      <w:sz w:val="24"/>
      <w:szCs w:val="24"/>
    </w:rPr>
  </w:style>
  <w:style w:type="paragraph" w:styleId="24" w:customStyle="1">
    <w:name w:val="Заголовок ГПП2"/>
    <w:basedOn w:val="Normal"/>
    <w:link w:val="2"/>
    <w:qFormat/>
    <w:rsid w:val="00086c0e"/>
    <w:pPr>
      <w:widowControl w:val="false"/>
      <w:tabs>
        <w:tab w:val="clear" w:pos="708"/>
        <w:tab w:val="left" w:pos="567" w:leader="none"/>
      </w:tabs>
      <w:spacing w:lineRule="auto" w:line="240" w:before="120" w:after="120"/>
      <w:ind w:start="709"/>
    </w:pPr>
    <w:rPr>
      <w:rFonts w:cs="Times New Roman"/>
      <w:szCs w:val="24"/>
    </w:rPr>
  </w:style>
  <w:style w:type="paragraph" w:styleId="BlockText">
    <w:name w:val="Block Text"/>
    <w:basedOn w:val="Normal"/>
    <w:qFormat/>
    <w:rsid w:val="00da3920"/>
    <w:pPr>
      <w:spacing w:lineRule="auto" w:line="240"/>
      <w:ind w:start="360" w:end="-365"/>
    </w:pPr>
    <w:rPr>
      <w:rFonts w:eastAsia="Times New Roman" w:cs="Times New Roman"/>
      <w:sz w:val="28"/>
      <w:szCs w:val="24"/>
      <w:lang w:eastAsia="ru-RU"/>
    </w:rPr>
  </w:style>
  <w:style w:type="paragraph" w:styleId="BodyTextIndent">
    <w:name w:val="Body Text Indent"/>
    <w:basedOn w:val="Normal"/>
    <w:link w:val="Style10"/>
    <w:uiPriority w:val="99"/>
    <w:unhideWhenUsed/>
    <w:rsid w:val="0087721b"/>
    <w:pPr>
      <w:spacing w:before="0" w:after="120"/>
      <w:ind w:start="283"/>
    </w:pPr>
    <w:rPr/>
  </w:style>
  <w:style w:type="paragraph" w:styleId="12" w:customStyle="1">
    <w:name w:val="Заголовок1"/>
    <w:qFormat/>
    <w:rsid w:val="00e4451f"/>
    <w:pPr>
      <w:widowControl/>
      <w:numPr>
        <w:ilvl w:val="0"/>
        <w:numId w:val="2"/>
      </w:numPr>
      <w:bidi w:val="0"/>
      <w:spacing w:lineRule="auto" w:line="240" w:before="240" w:after="120"/>
      <w:jc w:val="center"/>
      <w:outlineLvl w:val="0"/>
    </w:pPr>
    <w:rPr>
      <w:rFonts w:ascii="Times New Roman" w:hAnsi="Times New Roman" w:eastAsia="Times New Roman" w:cs="Times New Roman"/>
      <w:b/>
      <w:bCs/>
      <w:color w:val="auto"/>
      <w:kern w:val="0"/>
      <w:sz w:val="28"/>
      <w:szCs w:val="20"/>
      <w:lang w:eastAsia="ru-RU" w:val="ru-RU" w:bidi="ar-SA"/>
    </w:rPr>
  </w:style>
  <w:style w:type="paragraph" w:styleId="TOC1">
    <w:name w:val="toc 1"/>
    <w:basedOn w:val="Normal"/>
    <w:next w:val="Normal"/>
    <w:link w:val="11"/>
    <w:autoRedefine/>
    <w:uiPriority w:val="39"/>
    <w:unhideWhenUsed/>
    <w:rsid w:val="005c68ef"/>
    <w:pPr>
      <w:tabs>
        <w:tab w:val="clear" w:pos="708"/>
        <w:tab w:val="left" w:pos="851" w:leader="none"/>
        <w:tab w:val="right" w:pos="9627" w:leader="dot"/>
      </w:tabs>
      <w:spacing w:lineRule="auto" w:line="240" w:before="120" w:after="120"/>
    </w:pPr>
    <w:rPr>
      <w:color w:themeColor="text1" w:val="000000"/>
    </w:rPr>
  </w:style>
  <w:style w:type="paragraph" w:styleId="IndexHeading">
    <w:name w:val="index heading"/>
    <w:basedOn w:val="Style24"/>
    <w:pPr/>
    <w:rPr/>
  </w:style>
  <w:style w:type="paragraph" w:styleId="TOCHeading">
    <w:name w:val="TOC Heading"/>
    <w:basedOn w:val="Heading1"/>
    <w:next w:val="Normal"/>
    <w:uiPriority w:val="39"/>
    <w:unhideWhenUsed/>
    <w:qFormat/>
    <w:rsid w:val="006041d2"/>
    <w:pPr>
      <w:numPr>
        <w:ilvl w:val="0"/>
        <w:numId w:val="0"/>
      </w:numPr>
      <w:ind w:firstLine="709"/>
      <w:jc w:val="center"/>
      <w:outlineLvl w:val="9"/>
    </w:pPr>
    <w:rPr>
      <w:sz w:val="24"/>
    </w:rPr>
  </w:style>
  <w:style w:type="paragraph" w:styleId="CommentText">
    <w:name w:val="annotation text"/>
    <w:basedOn w:val="Normal"/>
    <w:link w:val="Style11"/>
    <w:semiHidden/>
    <w:rsid w:val="005b6c54"/>
    <w:pPr>
      <w:spacing w:lineRule="auto" w:line="240"/>
    </w:pPr>
    <w:rPr>
      <w:rFonts w:eastAsia="Times New Roman" w:cs="Times New Roman"/>
      <w:sz w:val="20"/>
      <w:szCs w:val="20"/>
      <w:lang w:eastAsia="ru-RU"/>
    </w:rPr>
  </w:style>
  <w:style w:type="paragraph" w:styleId="ListParagraph">
    <w:name w:val="List Paragraph"/>
    <w:basedOn w:val="Normal"/>
    <w:link w:val="Style18"/>
    <w:uiPriority w:val="34"/>
    <w:qFormat/>
    <w:rsid w:val="005b6c54"/>
    <w:pPr>
      <w:numPr>
        <w:ilvl w:val="0"/>
        <w:numId w:val="3"/>
      </w:numPr>
      <w:spacing w:before="0" w:after="0"/>
      <w:contextualSpacing/>
    </w:pPr>
    <w:rPr/>
  </w:style>
  <w:style w:type="paragraph" w:styleId="Style28" w:customStyle="1">
    <w:name w:val="Заголовок содержания"/>
    <w:basedOn w:val="Normal"/>
    <w:qFormat/>
    <w:rsid w:val="005b6c54"/>
    <w:pPr>
      <w:keepNext w:val="true"/>
      <w:keepLines/>
      <w:spacing w:lineRule="auto" w:line="240" w:before="0" w:after="240"/>
      <w:jc w:val="center"/>
      <w:outlineLvl w:val="0"/>
    </w:pPr>
    <w:rPr>
      <w:rFonts w:eastAsia="Times New Roman" w:cs="Times New Roman"/>
      <w:b/>
      <w:bCs/>
      <w:caps/>
      <w:szCs w:val="20"/>
      <w:lang w:eastAsia="ru-RU"/>
    </w:rPr>
  </w:style>
  <w:style w:type="paragraph" w:styleId="NormalWeb">
    <w:name w:val="Normal (Web)"/>
    <w:basedOn w:val="Normal"/>
    <w:uiPriority w:val="99"/>
    <w:qFormat/>
    <w:rsid w:val="005b6c54"/>
    <w:pPr>
      <w:spacing w:lineRule="auto" w:line="240"/>
    </w:pPr>
    <w:rPr>
      <w:rFonts w:eastAsia="Times New Roman" w:cs="Times New Roman"/>
      <w:szCs w:val="24"/>
      <w:lang w:eastAsia="ru-RU"/>
    </w:rPr>
  </w:style>
  <w:style w:type="paragraph" w:styleId="FootnoteText">
    <w:name w:val="footnote text"/>
    <w:basedOn w:val="Normal"/>
    <w:link w:val="Style13"/>
    <w:uiPriority w:val="99"/>
    <w:unhideWhenUsed/>
    <w:rsid w:val="004365f6"/>
    <w:pPr>
      <w:spacing w:lineRule="auto" w:line="240"/>
    </w:pPr>
    <w:rPr>
      <w:sz w:val="20"/>
      <w:szCs w:val="20"/>
    </w:rPr>
  </w:style>
  <w:style w:type="paragraph" w:styleId="13" w:customStyle="1">
    <w:name w:val="Стиль1"/>
    <w:basedOn w:val="24"/>
    <w:qFormat/>
    <w:rsid w:val="004365f6"/>
    <w:pPr>
      <w:tabs>
        <w:tab w:val="left" w:pos="567" w:leader="none"/>
        <w:tab w:val="left" w:pos="1276" w:leader="none"/>
      </w:tabs>
    </w:pPr>
    <w:rPr>
      <w:strike/>
    </w:rPr>
  </w:style>
  <w:style w:type="paragraph" w:styleId="Title">
    <w:name w:val="Title"/>
    <w:basedOn w:val="Normal"/>
    <w:next w:val="Normal"/>
    <w:link w:val="Style14"/>
    <w:uiPriority w:val="10"/>
    <w:qFormat/>
    <w:rsid w:val="008a70cf"/>
    <w:pPr>
      <w:pageBreakBefore/>
      <w:spacing w:lineRule="auto" w:line="240" w:before="0" w:after="240"/>
      <w:ind w:hanging="0"/>
      <w:contextualSpacing/>
      <w:jc w:val="center"/>
      <w:outlineLvl w:val="0"/>
    </w:pPr>
    <w:rPr>
      <w:rFonts w:eastAsia="" w:cs="" w:cstheme="majorBidi" w:eastAsiaTheme="majorEastAsia"/>
      <w:b/>
      <w:caps/>
      <w:spacing w:val="-10"/>
      <w:szCs w:val="56"/>
    </w:rPr>
  </w:style>
  <w:style w:type="paragraph" w:styleId="Subtitle">
    <w:name w:val="Subtitle"/>
    <w:basedOn w:val="Normal"/>
    <w:next w:val="Normal"/>
    <w:link w:val="Style15"/>
    <w:uiPriority w:val="11"/>
    <w:qFormat/>
    <w:rsid w:val="00c0601c"/>
    <w:pPr>
      <w:ind w:firstLine="709"/>
    </w:pPr>
    <w:rPr>
      <w:color w:themeColor="text1" w:themeTint="a5" w:val="5A5A5A"/>
      <w:spacing w:val="15"/>
    </w:rPr>
  </w:style>
  <w:style w:type="paragraph" w:styleId="NoSpacing">
    <w:name w:val="No Spacing"/>
    <w:uiPriority w:val="1"/>
    <w:qFormat/>
    <w:rsid w:val="00c0601c"/>
    <w:pPr>
      <w:widowControl/>
      <w:bidi w:val="0"/>
      <w:spacing w:lineRule="auto" w:line="240" w:before="0" w:after="0"/>
      <w:jc w:val="start"/>
    </w:pPr>
    <w:rPr>
      <w:rFonts w:ascii="Calibri" w:hAnsi="Calibri" w:eastAsia="" w:cs="" w:asciiTheme="minorHAnsi" w:cstheme="minorBidi" w:eastAsiaTheme="minorEastAsia" w:hAnsiTheme="minorHAnsi"/>
      <w:color w:val="auto"/>
      <w:kern w:val="0"/>
      <w:sz w:val="22"/>
      <w:szCs w:val="22"/>
      <w:lang w:val="ru-RU" w:eastAsia="en-US" w:bidi="ar-SA"/>
    </w:rPr>
  </w:style>
  <w:style w:type="paragraph" w:styleId="Quote">
    <w:name w:val="Quote"/>
    <w:basedOn w:val="Normal"/>
    <w:next w:val="Normal"/>
    <w:link w:val="22"/>
    <w:uiPriority w:val="29"/>
    <w:qFormat/>
    <w:rsid w:val="00c0601c"/>
    <w:pPr>
      <w:spacing w:before="200" w:after="0"/>
      <w:ind w:start="864" w:end="864"/>
    </w:pPr>
    <w:rPr>
      <w:i/>
      <w:iCs/>
      <w:color w:themeColor="text1" w:themeTint="bf" w:val="404040"/>
    </w:rPr>
  </w:style>
  <w:style w:type="paragraph" w:styleId="IntenseQuote">
    <w:name w:val="Intense Quote"/>
    <w:basedOn w:val="Normal"/>
    <w:next w:val="Normal"/>
    <w:link w:val="Style16"/>
    <w:uiPriority w:val="30"/>
    <w:qFormat/>
    <w:rsid w:val="00c0601c"/>
    <w:pPr>
      <w:pBdr>
        <w:top w:val="single" w:sz="4" w:space="10" w:color="4F81BD" w:themeColor="accent1"/>
        <w:bottom w:val="single" w:sz="4" w:space="10" w:color="4F81BD" w:themeColor="accent1"/>
      </w:pBdr>
      <w:spacing w:before="360" w:after="360"/>
      <w:ind w:start="864" w:end="864"/>
      <w:jc w:val="center"/>
    </w:pPr>
    <w:rPr>
      <w:i/>
      <w:iCs/>
      <w:color w:themeColor="accent1" w:val="4F81BD"/>
    </w:rPr>
  </w:style>
  <w:style w:type="paragraph" w:styleId="25" w:customStyle="1">
    <w:name w:val="Стиль2"/>
    <w:basedOn w:val="TOC1"/>
    <w:link w:val="23"/>
    <w:qFormat/>
    <w:rsid w:val="004365f6"/>
    <w:pPr>
      <w:tabs>
        <w:tab w:val="left" w:pos="440" w:leader="none"/>
        <w:tab w:val="left" w:pos="851" w:leader="none"/>
        <w:tab w:val="right" w:pos="9627" w:leader="dot"/>
      </w:tabs>
    </w:pPr>
    <w:rPr>
      <w:rFonts w:cs="Times New Roman"/>
      <w:szCs w:val="24"/>
    </w:rPr>
  </w:style>
  <w:style w:type="paragraph" w:styleId="32" w:customStyle="1">
    <w:name w:val="Стиль3"/>
    <w:basedOn w:val="TOC1"/>
    <w:link w:val="31"/>
    <w:qFormat/>
    <w:rsid w:val="008d66e6"/>
    <w:pPr>
      <w:tabs>
        <w:tab w:val="left" w:pos="440" w:leader="none"/>
        <w:tab w:val="left" w:pos="851" w:leader="none"/>
        <w:tab w:val="right" w:pos="9627" w:leader="dot"/>
      </w:tabs>
    </w:pPr>
    <w:rPr>
      <w:rFonts w:cs="Times New Roman"/>
      <w:szCs w:val="24"/>
    </w:rPr>
  </w:style>
  <w:style w:type="paragraph" w:styleId="annotationsubject">
    <w:name w:val="annotation subject"/>
    <w:basedOn w:val="CommentText"/>
    <w:next w:val="CommentText"/>
    <w:link w:val="Style17"/>
    <w:uiPriority w:val="99"/>
    <w:semiHidden/>
    <w:unhideWhenUsed/>
    <w:qFormat/>
    <w:rsid w:val="00411b4c"/>
    <w:pPr>
      <w:spacing w:before="0" w:after="160"/>
    </w:pPr>
    <w:rPr>
      <w:rFonts w:ascii="Calibri" w:hAnsi="Calibri" w:eastAsia="" w:cs="" w:asciiTheme="minorHAnsi" w:cstheme="minorBidi" w:eastAsiaTheme="minorEastAsia" w:hAnsiTheme="minorHAnsi"/>
      <w:b/>
      <w:bCs/>
      <w:lang w:eastAsia="en-US"/>
    </w:rPr>
  </w:style>
  <w:style w:type="paragraph" w:styleId="42" w:customStyle="1">
    <w:name w:val="Стиль4"/>
    <w:basedOn w:val="TOC1"/>
    <w:link w:val="41"/>
    <w:qFormat/>
    <w:rsid w:val="00461c95"/>
    <w:pPr>
      <w:tabs>
        <w:tab w:val="left" w:pos="440" w:leader="none"/>
        <w:tab w:val="left" w:pos="851" w:leader="none"/>
        <w:tab w:val="right" w:pos="9627" w:leader="dot"/>
      </w:tabs>
    </w:pPr>
    <w:rPr>
      <w:rFonts w:cs="Times New Roman"/>
      <w:szCs w:val="24"/>
    </w:rPr>
  </w:style>
  <w:style w:type="paragraph" w:styleId="14" w:customStyle="1">
    <w:name w:val="Основной текст1"/>
    <w:basedOn w:val="Normal"/>
    <w:link w:val="Style19"/>
    <w:qFormat/>
    <w:rsid w:val="00301783"/>
    <w:pPr>
      <w:widowControl w:val="false"/>
      <w:shd w:val="clear" w:color="auto" w:fill="FFFFFF"/>
      <w:spacing w:lineRule="auto" w:line="240" w:before="0" w:after="100"/>
      <w:ind w:firstLine="400"/>
    </w:pPr>
    <w:rPr>
      <w:rFonts w:eastAsia="Times New Roman" w:cs="Times New Roman"/>
    </w:rPr>
  </w:style>
  <w:style w:type="paragraph" w:styleId="TOC2">
    <w:name w:val="toc 2"/>
    <w:basedOn w:val="Normal"/>
    <w:next w:val="Normal"/>
    <w:autoRedefine/>
    <w:uiPriority w:val="39"/>
    <w:unhideWhenUsed/>
    <w:rsid w:val="007477f1"/>
    <w:pPr>
      <w:spacing w:before="0" w:after="100"/>
      <w:ind w:start="220"/>
    </w:pPr>
    <w:rPr>
      <w:rFonts w:cs="Times New Roman"/>
      <w:lang w:eastAsia="ru-RU"/>
    </w:rPr>
  </w:style>
  <w:style w:type="paragraph" w:styleId="TOC3">
    <w:name w:val="toc 3"/>
    <w:basedOn w:val="Normal"/>
    <w:next w:val="Normal"/>
    <w:autoRedefine/>
    <w:uiPriority w:val="39"/>
    <w:unhideWhenUsed/>
    <w:rsid w:val="007477f1"/>
    <w:pPr>
      <w:spacing w:before="0" w:after="100"/>
      <w:ind w:start="440"/>
    </w:pPr>
    <w:rPr>
      <w:rFonts w:cs="Times New Roman"/>
      <w:lang w:eastAsia="ru-RU"/>
    </w:rPr>
  </w:style>
  <w:style w:type="paragraph" w:styleId="Style29" w:customStyle="1">
    <w:name w:val="Колонтитул"/>
    <w:basedOn w:val="Normal"/>
    <w:link w:val="Style20"/>
    <w:qFormat/>
    <w:rsid w:val="00d228fc"/>
    <w:pPr>
      <w:ind w:hanging="0"/>
      <w:jc w:val="center"/>
    </w:pPr>
    <w:rPr>
      <w:sz w:val="28"/>
      <w:szCs w:val="28"/>
      <w:lang w:eastAsia="ru-RU"/>
    </w:rPr>
  </w:style>
  <w:style w:type="paragraph" w:styleId="user" w:customStyle="1">
    <w:name w:val="Таблица (user)"/>
    <w:basedOn w:val="Normal"/>
    <w:link w:val="Style21"/>
    <w:qFormat/>
    <w:rsid w:val="00d228fc"/>
    <w:pPr>
      <w:ind w:hanging="0"/>
    </w:pPr>
    <w:rPr>
      <w:rFonts w:cs="Times New Roman"/>
      <w:iCs/>
      <w:szCs w:val="24"/>
    </w:rPr>
  </w:style>
  <w:style w:type="paragraph" w:styleId="Style30" w:customStyle="1">
    <w:name w:val="Рисунки"/>
    <w:basedOn w:val="Normal"/>
    <w:link w:val="Style22"/>
    <w:qFormat/>
    <w:rsid w:val="008a70cf"/>
    <w:pPr>
      <w:ind w:hanging="0"/>
      <w:jc w:val="center"/>
    </w:pPr>
    <w:rPr>
      <w:lang w:eastAsia="ru-RU"/>
    </w:rPr>
  </w:style>
  <w:style w:type="paragraph" w:styleId="docdata" w:customStyle="1">
    <w:name w:val="docdata"/>
    <w:basedOn w:val="Normal"/>
    <w:qFormat/>
    <w:rsid w:val="00752c07"/>
    <w:pPr>
      <w:spacing w:lineRule="auto" w:line="240" w:beforeAutospacing="1" w:afterAutospacing="1"/>
      <w:ind w:hanging="0"/>
      <w:jc w:val="start"/>
    </w:pPr>
    <w:rPr>
      <w:rFonts w:eastAsia="Times New Roman" w:cs="Times New Roman"/>
      <w:szCs w:val="24"/>
      <w:lang w:eastAsia="ru-RU"/>
    </w:rPr>
  </w:style>
  <w:style w:type="paragraph" w:styleId="Style31">
    <w:name w:val="Таблица"/>
    <w:basedOn w:val="Caption"/>
    <w:qFormat/>
    <w:pPr/>
    <w:rPr/>
  </w:style>
  <w:style w:type="paragraph" w:styleId="TOC4">
    <w:name w:val="toc 4"/>
    <w:basedOn w:val="Style25"/>
    <w:pPr/>
    <w:rPr/>
  </w:style>
  <w:style w:type="paragraph" w:styleId="TOC5">
    <w:name w:val="toc 5"/>
    <w:basedOn w:val="Style25"/>
    <w:pPr/>
    <w:rPr/>
  </w:style>
  <w:style w:type="paragraph" w:styleId="TOC6">
    <w:name w:val="toc 6"/>
    <w:basedOn w:val="Style25"/>
    <w:pPr/>
    <w:rPr/>
  </w:style>
  <w:style w:type="paragraph" w:styleId="TOC7">
    <w:name w:val="toc 7"/>
    <w:basedOn w:val="Style25"/>
    <w:pPr/>
    <w:rPr/>
  </w:style>
  <w:style w:type="paragraph" w:styleId="TOC8">
    <w:name w:val="toc 8"/>
    <w:basedOn w:val="Style25"/>
    <w:pPr/>
    <w:rPr/>
  </w:style>
  <w:style w:type="paragraph" w:styleId="TOC9">
    <w:name w:val="toc 9"/>
    <w:basedOn w:val="Style25"/>
    <w:pPr/>
    <w:rPr/>
  </w:style>
  <w:style w:type="numbering" w:styleId="Style32" w:default="1">
    <w:name w:val="Без списка"/>
    <w:uiPriority w:val="99"/>
    <w:semiHidden/>
    <w:unhideWhenUsed/>
    <w:qFormat/>
  </w:style>
  <w:style w:type="table" w:default="1" w:styleId="a2">
    <w:name w:val="Normal Table"/>
    <w:uiPriority w:val="99"/>
    <w:semiHidden/>
    <w:unhideWhenUsed/>
    <w:tblPr>
      <w:tblCellMar>
        <w:top w:w="0" w:type="dxa"/>
        <w:left w:w="108" w:type="dxa"/>
        <w:bottom w:w="0" w:type="dxa"/>
        <w:right w:w="108" w:type="dxa"/>
      </w:tblCellMar>
    </w:tblPr>
  </w:style>
  <w:style w:type="table" w:styleId="afb">
    <w:name w:val="Table Grid"/>
    <w:basedOn w:val="a2"/>
    <w:rsid w:val="004365f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2.png"/><Relationship Id="rId5" Type="http://schemas.openxmlformats.org/officeDocument/2006/relationships/image" Target="media/image3.jpeg"/><Relationship Id="rId6" Type="http://schemas.openxmlformats.org/officeDocument/2006/relationships/image" Target="media/image4.jpeg"/><Relationship Id="rId7" Type="http://schemas.openxmlformats.org/officeDocument/2006/relationships/image" Target="media/image4.jpeg"/><Relationship Id="rId8" Type="http://schemas.openxmlformats.org/officeDocument/2006/relationships/image" Target="media/image5.jpeg"/><Relationship Id="rId9" Type="http://schemas.openxmlformats.org/officeDocument/2006/relationships/image" Target="media/image5.jpeg"/><Relationship Id="rId10" Type="http://schemas.openxmlformats.org/officeDocument/2006/relationships/header" Target="header1.xm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oter" Target="footer3.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Relationship Id="rId20"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6.png"/>
</Relationships>
</file>

<file path=word/_rels/header3.xml.rels><?xml version="1.0" encoding="UTF-8"?>
<Relationships xmlns="http://schemas.openxmlformats.org/package/2006/relationships"><Relationship Id="rId1" Type="http://schemas.openxmlformats.org/officeDocument/2006/relationships/image" Target="media/image6.png"/>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55A108-8786-4F7E-B9C0-2F961EA57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Application>LibreOffice/25.8.6.2$Windows_X86_64 LibreOffice_project/b4b39682cd9868fa725bc664aff94278d315bd04</Application>
  <AppVersion>15.0000</AppVersion>
  <Pages>20</Pages>
  <Words>3227</Words>
  <Characters>24328</Characters>
  <CharactersWithSpaces>27278</CharactersWithSpaces>
  <Paragraphs>281</Paragraphs>
  <Company>GSG</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2026-05-12T07:56:00Z</dcterms:created>
  <dc:creator>Вадим Юринов</dc:creator>
  <dc:description/>
  <dc:language>ru-RU</dc:language>
  <cp:lastModifiedBy>Мишуренко Николай Александрович</cp:lastModifiedBy>
  <cp:lastPrinted>2025-10-08T12:11:00Z</cp:lastPrinted>
  <dcterms:modified xsi:type="dcterms:W3CDTF">2026-05-12T08:28:00Z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